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rPr>
      </w:pP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武汉市小微服务业企业进入规模服务业企业奖励</w:t>
      </w:r>
      <w:r>
        <w:rPr>
          <w:rFonts w:hint="eastAsia" w:ascii="方正小标宋简体" w:hAnsi="方正小标宋简体" w:eastAsia="方正小标宋简体" w:cs="方正小标宋简体"/>
          <w:color w:val="auto"/>
          <w:sz w:val="44"/>
          <w:szCs w:val="44"/>
          <w:lang w:eastAsia="zh-CN"/>
        </w:rPr>
        <w:t>政策</w:t>
      </w:r>
      <w:r>
        <w:rPr>
          <w:rFonts w:hint="eastAsia" w:ascii="方正小标宋简体" w:hAnsi="方正小标宋简体" w:eastAsia="方正小标宋简体" w:cs="方正小标宋简体"/>
          <w:color w:val="auto"/>
          <w:sz w:val="44"/>
          <w:szCs w:val="44"/>
        </w:rPr>
        <w:t>实施细则</w:t>
      </w:r>
    </w:p>
    <w:p>
      <w:pPr>
        <w:spacing w:line="6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（征求意见稿）</w:t>
      </w:r>
    </w:p>
    <w:p>
      <w:pPr>
        <w:spacing w:line="600" w:lineRule="exact"/>
        <w:jc w:val="center"/>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落实《市人民政府关于印发武汉市加快服务业高质量发展若干政策的通知》（武政规〔2019〕1号），规范小微服务业企业进入规模服务业企业奖励工作，更好发挥奖励资金的激励引导作用，深入推进中小微企业发展，壮大全市规模以上服务业主体队伍，结合我市实际，制定本实施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实施细则适用于武汉市小微服务业企业进入规模服务业企业（以下简称服务业“小进规”）奖励兑现工作，包括《市人民政府关于印发武汉市加快服务业高质量发展若干政策的通知》（武政规〔2019〕1号）中设立的一次性入库奖励和经营贡献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一次性入库奖励和经营贡献奖励全部由市级财政资金从市现代服务业发展专项资金安排。鼓励区级财政根据实际情况进行适当的配套奖励。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发展改革部门负责全市服务业“小进规”奖励的综合管理工作；各区（开发区、功能区）发展改革部门负责本辖区服务业“小进规”奖励的综合管理工作；市、区财政、统计和税务部门按照职责和本实施细则做好相关配合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奖励</w:t>
      </w:r>
      <w:r>
        <w:rPr>
          <w:rFonts w:hint="eastAsia" w:ascii="黑体" w:hAnsi="黑体" w:eastAsia="黑体" w:cs="黑体"/>
          <w:color w:val="auto"/>
          <w:sz w:val="32"/>
          <w:szCs w:val="32"/>
          <w:lang w:eastAsia="zh-CN"/>
        </w:rPr>
        <w:t>对象</w:t>
      </w:r>
      <w:r>
        <w:rPr>
          <w:rFonts w:hint="eastAsia" w:ascii="黑体" w:hAnsi="黑体" w:eastAsia="黑体" w:cs="黑体"/>
          <w:color w:val="auto"/>
          <w:sz w:val="32"/>
          <w:szCs w:val="32"/>
        </w:rPr>
        <w:t>基本条件、支持范围和标准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奖励对象的基本条件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在本市区域内注册的独立法人企业，纳入本市统一核算,</w:t>
      </w:r>
      <w:r>
        <w:rPr>
          <w:rFonts w:hint="eastAsia" w:ascii="仿宋_GB2312" w:hAnsi="仿宋_GB2312" w:eastAsia="仿宋_GB2312" w:cs="仿宋_GB2312"/>
          <w:b/>
          <w:bCs/>
          <w:color w:val="auto"/>
          <w:sz w:val="32"/>
          <w:szCs w:val="32"/>
          <w:lang w:eastAsia="zh-CN"/>
        </w:rPr>
        <w:t>正常填报统计数据，</w:t>
      </w:r>
      <w:r>
        <w:rPr>
          <w:rFonts w:hint="eastAsia" w:ascii="仿宋_GB2312" w:hAnsi="仿宋_GB2312" w:eastAsia="仿宋_GB2312" w:cs="仿宋_GB2312"/>
          <w:color w:val="auto"/>
          <w:sz w:val="32"/>
          <w:szCs w:val="32"/>
        </w:rPr>
        <w:t>依法纳税，诚信经营。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参照考核年份执行的一套表统计调查制度（附件1），执行企业会计制度的法人单位应满足一套表统计调查制度规定的规模以上服务业的范围。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奖励支持范围和标准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一次性入库奖励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rPr>
        <w:t>从201</w:t>
      </w: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年起，首次纳入规模以上服务业的法人企业，给予5万元一次性入库奖励。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以下情况不列入一次性入库奖励支持范围：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企业已获得过工业“小进规”、批零住餐“小进限”等同类奖励，不重复奖励。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2.企业在纳入本市规模以上服务业统计平台后，当年即</w:t>
      </w:r>
      <w:r>
        <w:rPr>
          <w:rFonts w:hint="eastAsia" w:ascii="仿宋_GB2312" w:hAnsi="仿宋_GB2312" w:eastAsia="仿宋_GB2312" w:cs="仿宋_GB2312"/>
          <w:b/>
          <w:bCs/>
          <w:color w:val="auto"/>
          <w:sz w:val="32"/>
          <w:szCs w:val="32"/>
          <w:lang w:val="en-US" w:eastAsia="zh-CN"/>
        </w:rPr>
        <w:t>下库</w:t>
      </w:r>
      <w:r>
        <w:rPr>
          <w:rFonts w:hint="eastAsia" w:ascii="仿宋_GB2312" w:hAnsi="仿宋_GB2312" w:eastAsia="仿宋_GB2312" w:cs="仿宋_GB2312"/>
          <w:color w:val="auto"/>
          <w:sz w:val="32"/>
          <w:szCs w:val="32"/>
          <w:lang w:val="en-US" w:eastAsia="zh-CN"/>
        </w:rPr>
        <w:t>，退出规模以上服务业范围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经营贡献奖励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对于规模以上服务业法人企业，年度营业收入全市排名前200名，且年度营业收入和年缴税额同比增幅达到20%以上的，给予年度经营贡献奖励10万元。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奖励申领程序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发布通知。市发改委每年上半年向各区发改部门发布申领通知，公布上一年度服务业“小进规”奖励初步入围名单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初步入围名单由市统计局、市税务局根据奖励标准筛选后提供。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组织申领。根据市发改委发布的服务业“小进规”奖励初步入围名单，各区发改部门在辖区范围内组织</w:t>
      </w:r>
      <w:r>
        <w:rPr>
          <w:rFonts w:hint="eastAsia" w:ascii="仿宋_GB2312" w:hAnsi="仿宋_GB2312" w:eastAsia="仿宋_GB2312" w:cs="仿宋_GB2312"/>
          <w:color w:val="auto"/>
          <w:sz w:val="32"/>
          <w:szCs w:val="32"/>
          <w:lang w:eastAsia="zh-CN"/>
        </w:rPr>
        <w:t>初步</w:t>
      </w:r>
      <w:r>
        <w:rPr>
          <w:rFonts w:hint="eastAsia" w:ascii="仿宋_GB2312" w:hAnsi="仿宋_GB2312" w:eastAsia="仿宋_GB2312" w:cs="仿宋_GB2312"/>
          <w:color w:val="auto"/>
          <w:sz w:val="32"/>
          <w:szCs w:val="32"/>
        </w:rPr>
        <w:t>入围企业进行申领，并对受理情况在本区发改部门网站上进行公示。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第九条</w:t>
      </w:r>
      <w:r>
        <w:rPr>
          <w:rFonts w:hint="eastAsia" w:ascii="仿宋_GB2312" w:hAnsi="仿宋_GB2312" w:eastAsia="仿宋_GB2312" w:cs="仿宋_GB2312"/>
          <w:color w:val="auto"/>
          <w:sz w:val="32"/>
          <w:szCs w:val="32"/>
          <w:lang w:val="en-US" w:eastAsia="zh-CN"/>
        </w:rPr>
        <w:t xml:space="preserve">  初步</w:t>
      </w:r>
      <w:r>
        <w:rPr>
          <w:rFonts w:hint="eastAsia" w:ascii="仿宋_GB2312" w:hAnsi="仿宋_GB2312" w:eastAsia="仿宋_GB2312" w:cs="仿宋_GB2312"/>
          <w:color w:val="auto"/>
          <w:sz w:val="32"/>
          <w:szCs w:val="32"/>
        </w:rPr>
        <w:t>入围企业向所属区发改部门进行申领，需提交资料如下：</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《武汉市支持小微服务业企业进入规模服务业企业奖励申领表》（附件2）</w:t>
      </w:r>
      <w:r>
        <w:rPr>
          <w:rFonts w:hint="eastAsia" w:ascii="仿宋_GB2312" w:hAnsi="仿宋_GB2312" w:eastAsia="仿宋_GB2312" w:cs="仿宋_GB2312"/>
          <w:color w:val="auto"/>
          <w:sz w:val="32"/>
          <w:szCs w:val="32"/>
          <w:lang w:eastAsia="zh-CN"/>
        </w:rPr>
        <w:t>，填报企业社会信用代码、营业收入、上缴税额等信息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企业出具</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真实性承诺，对相关申领资料填写的真实性、合法性、合规性负责。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奖励审核、拨付程序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各区初审。</w:t>
      </w:r>
      <w:r>
        <w:rPr>
          <w:rFonts w:hint="eastAsia" w:ascii="仿宋_GB2312" w:hAnsi="仿宋_GB2312" w:eastAsia="仿宋_GB2312" w:cs="仿宋_GB2312"/>
          <w:color w:val="auto"/>
          <w:sz w:val="32"/>
          <w:szCs w:val="32"/>
        </w:rPr>
        <w:t>各区发改部门对企业申领资料进行初审，</w:t>
      </w:r>
      <w:r>
        <w:rPr>
          <w:rFonts w:hint="eastAsia" w:ascii="仿宋_GB2312" w:hAnsi="仿宋_GB2312" w:eastAsia="仿宋_GB2312" w:cs="仿宋_GB2312"/>
          <w:color w:val="auto"/>
          <w:sz w:val="32"/>
          <w:szCs w:val="32"/>
          <w:lang w:eastAsia="zh-CN"/>
        </w:rPr>
        <w:t>主要对</w:t>
      </w:r>
      <w:r>
        <w:rPr>
          <w:rFonts w:hint="eastAsia" w:ascii="仿宋_GB2312" w:hAnsi="仿宋_GB2312" w:eastAsia="仿宋_GB2312" w:cs="仿宋_GB2312"/>
          <w:color w:val="auto"/>
          <w:sz w:val="32"/>
          <w:szCs w:val="32"/>
        </w:rPr>
        <w:t>企业是否符合奖励的基本条件、支持范围、在“信用中国”网站是否有正在公示的信用黑名单信息等</w:t>
      </w:r>
      <w:r>
        <w:rPr>
          <w:rFonts w:hint="eastAsia" w:ascii="仿宋_GB2312" w:hAnsi="仿宋_GB2312" w:eastAsia="仿宋_GB2312" w:cs="仿宋_GB2312"/>
          <w:color w:val="auto"/>
          <w:sz w:val="32"/>
          <w:szCs w:val="32"/>
          <w:lang w:eastAsia="zh-CN"/>
        </w:rPr>
        <w:t>方面进行审核</w:t>
      </w:r>
      <w:r>
        <w:rPr>
          <w:rFonts w:hint="eastAsia" w:ascii="仿宋_GB2312" w:hAnsi="仿宋_GB2312" w:eastAsia="仿宋_GB2312" w:cs="仿宋_GB2312"/>
          <w:color w:val="auto"/>
          <w:sz w:val="32"/>
          <w:szCs w:val="32"/>
        </w:rPr>
        <w:t>，审核完成后在区发改部门网站上公示</w:t>
      </w:r>
      <w:r>
        <w:rPr>
          <w:rFonts w:hint="eastAsia" w:ascii="仿宋_GB2312" w:hAnsi="仿宋_GB2312" w:eastAsia="仿宋_GB2312" w:cs="仿宋_GB2312"/>
          <w:color w:val="auto"/>
          <w:sz w:val="32"/>
          <w:szCs w:val="32"/>
          <w:lang w:eastAsia="zh-CN"/>
        </w:rPr>
        <w:t>申领名单</w:t>
      </w:r>
      <w:r>
        <w:rPr>
          <w:rFonts w:hint="eastAsia" w:ascii="仿宋_GB2312" w:hAnsi="仿宋_GB2312" w:eastAsia="仿宋_GB2312" w:cs="仿宋_GB2312"/>
          <w:color w:val="auto"/>
          <w:sz w:val="32"/>
          <w:szCs w:val="32"/>
        </w:rPr>
        <w:t>（公示期为5个工作日)。各区发改部门将公示无异议的拟奖励企业名单正式行文上报市发改委，并附《武汉市支持小微服务业企业进入规模服务业企业奖励申领汇总表》（附件3）等相关资料。各区发改部门对企业申领资料完整性、申领程序合规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复核公示。</w:t>
      </w:r>
      <w:r>
        <w:rPr>
          <w:rFonts w:hint="eastAsia" w:ascii="仿宋_GB2312" w:hAnsi="仿宋_GB2312" w:eastAsia="仿宋_GB2312" w:cs="仿宋_GB2312"/>
          <w:color w:val="auto"/>
          <w:sz w:val="32"/>
          <w:szCs w:val="32"/>
        </w:rPr>
        <w:t>市发改委根据审核结果，</w:t>
      </w:r>
      <w:r>
        <w:rPr>
          <w:rFonts w:hint="eastAsia" w:ascii="仿宋_GB2312" w:hAnsi="仿宋_GB2312" w:eastAsia="仿宋_GB2312" w:cs="仿宋_GB2312"/>
          <w:color w:val="auto"/>
          <w:sz w:val="32"/>
          <w:szCs w:val="32"/>
          <w:lang w:eastAsia="zh-CN"/>
        </w:rPr>
        <w:t>按政策</w:t>
      </w:r>
      <w:r>
        <w:rPr>
          <w:rFonts w:hint="eastAsia" w:ascii="仿宋_GB2312" w:hAnsi="仿宋_GB2312" w:eastAsia="仿宋_GB2312" w:cs="仿宋_GB2312"/>
          <w:color w:val="auto"/>
          <w:sz w:val="32"/>
          <w:szCs w:val="32"/>
        </w:rPr>
        <w:t>确定各区奖励资金</w:t>
      </w:r>
      <w:r>
        <w:rPr>
          <w:rFonts w:hint="eastAsia" w:ascii="仿宋_GB2312" w:hAnsi="仿宋_GB2312" w:eastAsia="仿宋_GB2312" w:cs="仿宋_GB2312"/>
          <w:color w:val="auto"/>
          <w:sz w:val="32"/>
          <w:szCs w:val="32"/>
          <w:lang w:eastAsia="zh-CN"/>
        </w:rPr>
        <w:t>安排方案。</w:t>
      </w:r>
      <w:r>
        <w:rPr>
          <w:rFonts w:hint="eastAsia" w:ascii="仿宋_GB2312" w:hAnsi="仿宋_GB2312" w:eastAsia="仿宋_GB2312" w:cs="仿宋_GB2312"/>
          <w:color w:val="auto"/>
          <w:sz w:val="32"/>
          <w:szCs w:val="32"/>
        </w:rPr>
        <w:t>经市发改委主任办公会审议后，上报市人民政府审定，审定同意后在市发改委网站上公示资金</w:t>
      </w:r>
      <w:r>
        <w:rPr>
          <w:rFonts w:hint="eastAsia" w:ascii="仿宋_GB2312" w:hAnsi="仿宋_GB2312" w:eastAsia="仿宋_GB2312" w:cs="仿宋_GB2312"/>
          <w:color w:val="auto"/>
          <w:sz w:val="32"/>
          <w:szCs w:val="32"/>
          <w:lang w:eastAsia="zh-CN"/>
        </w:rPr>
        <w:t>奖励</w:t>
      </w:r>
      <w:r>
        <w:rPr>
          <w:rFonts w:hint="eastAsia" w:ascii="仿宋_GB2312" w:hAnsi="仿宋_GB2312" w:eastAsia="仿宋_GB2312" w:cs="仿宋_GB2312"/>
          <w:color w:val="auto"/>
          <w:sz w:val="32"/>
          <w:szCs w:val="32"/>
        </w:rPr>
        <w:t>方案（公示期为5个工作日）。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资金拨付。</w:t>
      </w:r>
      <w:r>
        <w:rPr>
          <w:rFonts w:hint="eastAsia" w:ascii="仿宋_GB2312" w:hAnsi="仿宋_GB2312" w:eastAsia="仿宋_GB2312" w:cs="仿宋_GB2312"/>
          <w:color w:val="auto"/>
          <w:sz w:val="32"/>
          <w:szCs w:val="32"/>
        </w:rPr>
        <w:t>公示期满后，由市发改委函告市财政局，市财政局办理资金拨付</w:t>
      </w:r>
      <w:r>
        <w:rPr>
          <w:rFonts w:hint="eastAsia" w:ascii="仿宋_GB2312" w:hAnsi="仿宋_GB2312" w:eastAsia="仿宋_GB2312" w:cs="仿宋_GB2312"/>
          <w:color w:val="auto"/>
          <w:sz w:val="32"/>
          <w:szCs w:val="32"/>
          <w:lang w:eastAsia="zh-CN"/>
        </w:rPr>
        <w:t>，并将资金拨付文件抄送</w:t>
      </w:r>
      <w:r>
        <w:rPr>
          <w:rFonts w:hint="eastAsia" w:ascii="仿宋_GB2312" w:hAnsi="仿宋_GB2312" w:eastAsia="仿宋_GB2312" w:cs="仿宋_GB2312"/>
          <w:color w:val="auto"/>
          <w:sz w:val="32"/>
          <w:szCs w:val="32"/>
        </w:rPr>
        <w:t>市发改委，市发改委对拨付情况进行公告。企业收到奖励资金后，按照《企业财务通则》（财政部令41号）第二十条规定进行财务处理。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企业在申领及资金使用过程中，有提供虚假资料、骗取资金等违规行为，或存在统计违法行为的，一经查实</w:t>
      </w:r>
      <w:r>
        <w:rPr>
          <w:rFonts w:hint="eastAsia" w:ascii="仿宋_GB2312" w:hAnsi="仿宋_GB2312" w:eastAsia="仿宋_GB2312" w:cs="仿宋_GB2312"/>
          <w:b w:val="0"/>
          <w:bCs w:val="0"/>
          <w:color w:val="auto"/>
          <w:sz w:val="32"/>
          <w:szCs w:val="32"/>
        </w:rPr>
        <w:t>将取消</w:t>
      </w:r>
      <w:r>
        <w:rPr>
          <w:rFonts w:ascii="仿宋_GB2312" w:hAnsi="仿宋_GB2312" w:eastAsia="仿宋_GB2312" w:cs="仿宋_GB2312"/>
          <w:b w:val="0"/>
          <w:bCs w:val="0"/>
          <w:color w:val="auto"/>
          <w:sz w:val="32"/>
          <w:szCs w:val="32"/>
        </w:rPr>
        <w:t>并</w:t>
      </w:r>
      <w:r>
        <w:rPr>
          <w:rFonts w:hint="eastAsia" w:ascii="仿宋_GB2312" w:hAnsi="仿宋_GB2312" w:eastAsia="仿宋_GB2312" w:cs="仿宋_GB2312"/>
          <w:b w:val="0"/>
          <w:bCs w:val="0"/>
          <w:color w:val="auto"/>
          <w:sz w:val="32"/>
          <w:szCs w:val="32"/>
        </w:rPr>
        <w:t>追回</w:t>
      </w:r>
      <w:r>
        <w:rPr>
          <w:rFonts w:hint="eastAsia" w:ascii="仿宋_GB2312" w:hAnsi="仿宋_GB2312" w:eastAsia="仿宋_GB2312" w:cs="仿宋_GB2312"/>
          <w:color w:val="auto"/>
          <w:sz w:val="32"/>
          <w:szCs w:val="32"/>
        </w:rPr>
        <w:t>已经拨付的资金，涉嫌犯罪的，依法追究相关法律责任。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第十四条</w:t>
      </w:r>
      <w:r>
        <w:rPr>
          <w:rFonts w:hint="eastAsia" w:ascii="仿宋_GB2312" w:hAnsi="仿宋_GB2312" w:eastAsia="仿宋_GB2312" w:cs="仿宋_GB2312"/>
          <w:color w:val="auto"/>
          <w:sz w:val="32"/>
          <w:szCs w:val="32"/>
          <w:lang w:val="en-US" w:eastAsia="zh-CN"/>
        </w:rPr>
        <w:t xml:space="preserve">  本实施细则由市发展改革委负责解释，自发布之日起实施。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附件：1.规模以上服务业统计范围（试行）</w:t>
      </w:r>
    </w:p>
    <w:p>
      <w:pPr>
        <w:keepNext w:val="0"/>
        <w:keepLines w:val="0"/>
        <w:pageBreakBefore w:val="0"/>
        <w:widowControl w:val="0"/>
        <w:kinsoku/>
        <w:wordWrap/>
        <w:overflowPunct/>
        <w:topLinePunct w:val="0"/>
        <w:autoSpaceDE/>
        <w:autoSpaceDN/>
        <w:bidi w:val="0"/>
        <w:adjustRightInd/>
        <w:snapToGrid/>
        <w:spacing w:line="580" w:lineRule="exact"/>
        <w:ind w:left="1895" w:leftChars="761" w:hanging="297" w:hangingChars="9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2.武汉市支持小微服务业企业进入规模服务业企业奖励申领表</w:t>
      </w:r>
    </w:p>
    <w:p>
      <w:pPr>
        <w:keepNext w:val="0"/>
        <w:keepLines w:val="0"/>
        <w:pageBreakBefore w:val="0"/>
        <w:widowControl w:val="0"/>
        <w:kinsoku/>
        <w:wordWrap/>
        <w:overflowPunct/>
        <w:topLinePunct w:val="0"/>
        <w:autoSpaceDE/>
        <w:autoSpaceDN/>
        <w:bidi w:val="0"/>
        <w:adjustRightInd/>
        <w:snapToGrid/>
        <w:spacing w:line="580" w:lineRule="exact"/>
        <w:ind w:left="1895" w:leftChars="761" w:hanging="297" w:hangingChars="93"/>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3.武汉市支持小微服务业企业进入规模服务业企业奖励申领汇总表</w:t>
      </w:r>
    </w:p>
    <w:p>
      <w:pPr>
        <w:spacing w:line="600" w:lineRule="exact"/>
        <w:ind w:firstLine="640" w:firstLineChars="200"/>
        <w:jc w:val="left"/>
        <w:rPr>
          <w:rFonts w:ascii="仿宋_GB2312" w:hAnsi="仿宋_GB2312" w:eastAsia="仿宋_GB2312" w:cs="仿宋_GB2312"/>
          <w:color w:val="auto"/>
          <w:sz w:val="32"/>
          <w:szCs w:val="32"/>
        </w:rPr>
      </w:pPr>
    </w:p>
    <w:p>
      <w:pPr>
        <w:spacing w:line="600" w:lineRule="exact"/>
        <w:ind w:firstLine="640" w:firstLineChars="200"/>
        <w:jc w:val="left"/>
        <w:rPr>
          <w:rFonts w:ascii="仿宋_GB2312" w:hAnsi="仿宋_GB2312" w:eastAsia="仿宋_GB2312" w:cs="仿宋_GB2312"/>
          <w:color w:val="auto"/>
          <w:sz w:val="32"/>
          <w:szCs w:val="32"/>
        </w:rPr>
        <w:sectPr>
          <w:footerReference r:id="rId3" w:type="default"/>
          <w:pgSz w:w="11906" w:h="16838"/>
          <w:pgMar w:top="1440" w:right="1587" w:bottom="1644" w:left="1587" w:header="851" w:footer="992" w:gutter="0"/>
          <w:pgBorders>
            <w:top w:val="none" w:sz="0" w:space="0"/>
            <w:left w:val="none" w:sz="0" w:space="0"/>
            <w:bottom w:val="none" w:sz="0" w:space="0"/>
            <w:right w:val="none" w:sz="0" w:space="0"/>
          </w:pgBorders>
          <w:cols w:space="0" w:num="1"/>
          <w:docGrid w:type="lines" w:linePitch="312" w:charSpace="0"/>
        </w:sectPr>
      </w:pPr>
    </w:p>
    <w:p>
      <w:pPr>
        <w:spacing w:line="600" w:lineRule="exact"/>
        <w:ind w:firstLine="640" w:firstLineChars="200"/>
        <w:jc w:val="left"/>
        <w:rPr>
          <w:rFonts w:ascii="仿宋_GB2312" w:hAnsi="仿宋_GB2312" w:eastAsia="仿宋_GB2312" w:cs="仿宋_GB2312"/>
          <w:color w:val="auto"/>
          <w:sz w:val="32"/>
          <w:szCs w:val="32"/>
        </w:rPr>
      </w:pPr>
    </w:p>
    <w:p>
      <w:pPr>
        <w:spacing w:line="60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spacing w:line="300" w:lineRule="exact"/>
        <w:ind w:firstLine="640" w:firstLineChars="200"/>
        <w:jc w:val="left"/>
        <w:rPr>
          <w:rFonts w:ascii="仿宋_GB2312" w:hAnsi="仿宋_GB2312" w:eastAsia="仿宋_GB2312" w:cs="仿宋_GB2312"/>
          <w:color w:val="auto"/>
          <w:sz w:val="32"/>
          <w:szCs w:val="32"/>
        </w:rPr>
      </w:pPr>
    </w:p>
    <w:p>
      <w:pPr>
        <w:spacing w:line="300" w:lineRule="exact"/>
        <w:ind w:firstLine="640" w:firstLineChars="200"/>
        <w:jc w:val="left"/>
        <w:rPr>
          <w:rFonts w:ascii="仿宋_GB2312" w:hAnsi="仿宋_GB2312" w:eastAsia="仿宋_GB2312" w:cs="仿宋_GB2312"/>
          <w:color w:val="auto"/>
          <w:sz w:val="32"/>
          <w:szCs w:val="32"/>
        </w:rPr>
      </w:pP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规模以上服务业统计范围（试行）</w:t>
      </w:r>
    </w:p>
    <w:p>
      <w:pPr>
        <w:spacing w:line="400" w:lineRule="exact"/>
        <w:ind w:firstLine="560" w:firstLineChars="200"/>
        <w:jc w:val="left"/>
        <w:rPr>
          <w:rFonts w:ascii="仿宋_GB2312" w:hAnsi="仿宋_GB2312" w:eastAsia="仿宋_GB2312" w:cs="仿宋_GB2312"/>
          <w:color w:val="auto"/>
          <w:sz w:val="28"/>
          <w:szCs w:val="28"/>
        </w:rPr>
      </w:pPr>
    </w:p>
    <w:p>
      <w:pPr>
        <w:spacing w:after="62" w:afterLines="20"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一、国家统计局2017年发布并执行：</w:t>
      </w:r>
    </w:p>
    <w:p>
      <w:pPr>
        <w:spacing w:after="62" w:afterLines="20" w:line="60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年营业收入1000万元及以上，或年末从业人员50人及以上服务业法人单位，包括：交通运输、仓储和邮政业，信息传输、软件和信息技术服务业，租赁和商务服务业，科学研究和技术服务业，水利、环境和公共设施管理业，教育，卫生和社会工作；以及物业管理、房地产中介服务、自有房地产经营活动和其他房地产业等行业；年营业收入500万元及以上，或年末从业人员50人及以上服务业法人单位，包括：居民服务、修理和其他服务业，文化、体育和娱乐业。</w:t>
      </w:r>
    </w:p>
    <w:p>
      <w:pPr>
        <w:spacing w:after="62" w:afterLines="20"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二、国家统计局2019年发布，2020年起执行：</w:t>
      </w:r>
    </w:p>
    <w:p>
      <w:pPr>
        <w:spacing w:after="62" w:afterLines="20"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年营业收入2000万元及以上的服务业法人单位，包括：交通运输、仓储和邮政业，信息传输、软件和信息技术服务业，水利、环境和公共设施管理业三个门类和卫生行业大类；年营业收入</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000万元及以上的服务业法人单位，包括：房地产业（除房地产开发经营）和租赁和商务服务业、科学研究和技术服务业、教育三个门类；年营业收入500万元及以上的服务业法人单位，包括：居民服务、修理和其他服务业，文化、体育和娱</w:t>
      </w:r>
      <w:bookmarkStart w:id="0" w:name="_GoBack"/>
      <w:bookmarkEnd w:id="0"/>
      <w:r>
        <w:rPr>
          <w:rFonts w:hint="eastAsia" w:ascii="仿宋_GB2312" w:hAnsi="仿宋_GB2312" w:eastAsia="仿宋_GB2312" w:cs="仿宋_GB2312"/>
          <w:color w:val="auto"/>
          <w:sz w:val="32"/>
          <w:szCs w:val="32"/>
        </w:rPr>
        <w:t>乐业两个门类，社会工作行业大类。（见下表）</w:t>
      </w:r>
    </w:p>
    <w:p>
      <w:pPr>
        <w:spacing w:after="62" w:afterLines="20" w:line="600" w:lineRule="exact"/>
        <w:ind w:left="0" w:leftChars="0" w:firstLine="0" w:firstLineChars="0"/>
        <w:jc w:val="center"/>
        <w:rPr>
          <w:rFonts w:hint="eastAsia" w:ascii="方正小标宋简体" w:hAnsi="方正小标宋简体" w:eastAsia="方正小标宋简体" w:cs="方正小标宋简体"/>
          <w:color w:val="auto"/>
          <w:sz w:val="28"/>
          <w:szCs w:val="28"/>
          <w:lang w:eastAsia="zh-CN"/>
        </w:rPr>
      </w:pPr>
      <w:r>
        <w:rPr>
          <w:rFonts w:hint="eastAsia" w:ascii="方正小标宋简体" w:hAnsi="方正小标宋简体" w:eastAsia="方正小标宋简体" w:cs="方正小标宋简体"/>
          <w:color w:val="auto"/>
          <w:sz w:val="28"/>
          <w:szCs w:val="28"/>
          <w:lang w:eastAsia="zh-CN"/>
        </w:rPr>
        <w:t>规模以上服务业统计范围表</w:t>
      </w:r>
    </w:p>
    <w:tbl>
      <w:tblPr>
        <w:tblStyle w:val="5"/>
        <w:tblW w:w="837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4336"/>
        <w:gridCol w:w="21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3" w:type="dxa"/>
            <w:tcBorders>
              <w:tl2br w:val="nil"/>
              <w:tr2bl w:val="nil"/>
            </w:tcBorders>
            <w:vAlign w:val="center"/>
          </w:tcPr>
          <w:p>
            <w:pPr>
              <w:jc w:val="center"/>
              <w:rPr>
                <w:rFonts w:hint="eastAsia" w:ascii="方正小标宋简体" w:hAnsi="方正小标宋简体" w:eastAsia="方正小标宋简体" w:cs="方正小标宋简体"/>
                <w:b w:val="0"/>
                <w:bCs w:val="0"/>
                <w:color w:val="auto"/>
                <w:szCs w:val="21"/>
              </w:rPr>
            </w:pPr>
            <w:r>
              <w:rPr>
                <w:rFonts w:hint="eastAsia" w:ascii="方正小标宋简体" w:hAnsi="方正小标宋简体" w:eastAsia="方正小标宋简体" w:cs="方正小标宋简体"/>
                <w:b w:val="0"/>
                <w:bCs w:val="0"/>
                <w:color w:val="auto"/>
                <w:szCs w:val="21"/>
              </w:rPr>
              <w:t>行业门类</w:t>
            </w:r>
          </w:p>
        </w:tc>
        <w:tc>
          <w:tcPr>
            <w:tcW w:w="4336" w:type="dxa"/>
            <w:tcBorders>
              <w:tl2br w:val="nil"/>
              <w:tr2bl w:val="nil"/>
            </w:tcBorders>
            <w:vAlign w:val="center"/>
          </w:tcPr>
          <w:p>
            <w:pPr>
              <w:jc w:val="center"/>
              <w:rPr>
                <w:rFonts w:hint="eastAsia" w:ascii="方正小标宋简体" w:hAnsi="方正小标宋简体" w:eastAsia="方正小标宋简体" w:cs="方正小标宋简体"/>
                <w:b w:val="0"/>
                <w:bCs w:val="0"/>
                <w:color w:val="auto"/>
                <w:szCs w:val="21"/>
              </w:rPr>
            </w:pPr>
            <w:r>
              <w:rPr>
                <w:rFonts w:hint="eastAsia" w:ascii="方正小标宋简体" w:hAnsi="方正小标宋简体" w:eastAsia="方正小标宋简体" w:cs="方正小标宋简体"/>
                <w:b w:val="0"/>
                <w:bCs w:val="0"/>
                <w:color w:val="auto"/>
                <w:szCs w:val="21"/>
              </w:rPr>
              <w:t>名  称</w:t>
            </w:r>
          </w:p>
        </w:tc>
        <w:tc>
          <w:tcPr>
            <w:tcW w:w="2102" w:type="dxa"/>
            <w:tcBorders>
              <w:tl2br w:val="nil"/>
              <w:tr2bl w:val="nil"/>
            </w:tcBorders>
            <w:vAlign w:val="center"/>
          </w:tcPr>
          <w:p>
            <w:pPr>
              <w:jc w:val="center"/>
              <w:rPr>
                <w:rFonts w:hint="eastAsia" w:ascii="方正小标宋简体" w:hAnsi="方正小标宋简体" w:eastAsia="方正小标宋简体" w:cs="方正小标宋简体"/>
                <w:b w:val="0"/>
                <w:bCs w:val="0"/>
                <w:color w:val="auto"/>
                <w:szCs w:val="21"/>
              </w:rPr>
            </w:pPr>
            <w:r>
              <w:rPr>
                <w:rFonts w:hint="eastAsia" w:ascii="方正小标宋简体" w:hAnsi="方正小标宋简体" w:eastAsia="方正小标宋简体" w:cs="方正小标宋简体"/>
                <w:b w:val="0"/>
                <w:bCs w:val="0"/>
                <w:color w:val="auto"/>
                <w:szCs w:val="21"/>
              </w:rPr>
              <w:t>入库标准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G</w:t>
            </w:r>
          </w:p>
        </w:tc>
        <w:tc>
          <w:tcPr>
            <w:tcW w:w="4336" w:type="dxa"/>
            <w:tcBorders>
              <w:tl2br w:val="nil"/>
              <w:tr2bl w:val="nil"/>
            </w:tcBorders>
            <w:vAlign w:val="center"/>
          </w:tcPr>
          <w:p>
            <w:pPr>
              <w:rPr>
                <w:rFonts w:eastAsia="仿宋_GB2312" w:asciiTheme="minorEastAsia" w:hAnsiTheme="minorEastAsia"/>
                <w:color w:val="auto"/>
                <w:szCs w:val="21"/>
              </w:rPr>
            </w:pPr>
            <w:r>
              <w:rPr>
                <w:rFonts w:hint="eastAsia" w:eastAsia="仿宋_GB2312" w:asciiTheme="minorEastAsia" w:hAnsiTheme="minorEastAsia"/>
                <w:color w:val="auto"/>
                <w:szCs w:val="21"/>
              </w:rPr>
              <w:t>交通运输、仓储和邮政业</w:t>
            </w:r>
          </w:p>
        </w:tc>
        <w:tc>
          <w:tcPr>
            <w:tcW w:w="2102" w:type="dxa"/>
            <w:vMerge w:val="restart"/>
            <w:tcBorders>
              <w:tl2br w:val="nil"/>
              <w:tr2bl w:val="nil"/>
            </w:tcBorders>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2000万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I</w:t>
            </w:r>
          </w:p>
        </w:tc>
        <w:tc>
          <w:tcPr>
            <w:tcW w:w="4336" w:type="dxa"/>
            <w:tcBorders>
              <w:tl2br w:val="nil"/>
              <w:tr2bl w:val="nil"/>
            </w:tcBorders>
            <w:vAlign w:val="center"/>
          </w:tcPr>
          <w:p>
            <w:pPr>
              <w:rPr>
                <w:rFonts w:eastAsia="仿宋_GB2312" w:asciiTheme="minorEastAsia" w:hAnsiTheme="minorEastAsia"/>
                <w:color w:val="auto"/>
                <w:szCs w:val="21"/>
              </w:rPr>
            </w:pPr>
            <w:r>
              <w:rPr>
                <w:rFonts w:hint="eastAsia" w:eastAsia="仿宋_GB2312" w:asciiTheme="minorEastAsia" w:hAnsiTheme="minorEastAsia"/>
                <w:color w:val="auto"/>
                <w:szCs w:val="21"/>
              </w:rPr>
              <w:t>信息传输、软件和信息技术服务业</w:t>
            </w:r>
          </w:p>
        </w:tc>
        <w:tc>
          <w:tcPr>
            <w:tcW w:w="2102" w:type="dxa"/>
            <w:vMerge w:val="continue"/>
            <w:tcBorders>
              <w:tl2br w:val="nil"/>
              <w:tr2bl w:val="nil"/>
            </w:tcBorders>
            <w:vAlign w:val="center"/>
          </w:tcPr>
          <w:p>
            <w:pPr>
              <w:jc w:val="center"/>
              <w:rPr>
                <w:rFonts w:hint="eastAsia" w:ascii="Times New Roman" w:hAnsi="Times New Roman" w:eastAsia="仿宋_GB2312" w:cs="仿宋_GB2312"/>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N</w:t>
            </w:r>
          </w:p>
        </w:tc>
        <w:tc>
          <w:tcPr>
            <w:tcW w:w="4336" w:type="dxa"/>
            <w:tcBorders>
              <w:tl2br w:val="nil"/>
              <w:tr2bl w:val="nil"/>
            </w:tcBorders>
            <w:vAlign w:val="center"/>
          </w:tcPr>
          <w:p>
            <w:pPr>
              <w:rPr>
                <w:rFonts w:eastAsia="仿宋_GB2312" w:asciiTheme="minorEastAsia" w:hAnsiTheme="minorEastAsia"/>
                <w:color w:val="auto"/>
                <w:szCs w:val="21"/>
              </w:rPr>
            </w:pPr>
            <w:r>
              <w:rPr>
                <w:rFonts w:hint="eastAsia" w:eastAsia="仿宋_GB2312" w:asciiTheme="minorEastAsia" w:hAnsiTheme="minorEastAsia"/>
                <w:color w:val="auto"/>
                <w:szCs w:val="21"/>
              </w:rPr>
              <w:t>水利、环境和公共设施管理业</w:t>
            </w:r>
          </w:p>
        </w:tc>
        <w:tc>
          <w:tcPr>
            <w:tcW w:w="2102" w:type="dxa"/>
            <w:vMerge w:val="continue"/>
            <w:tcBorders>
              <w:tl2br w:val="nil"/>
              <w:tr2bl w:val="nil"/>
            </w:tcBorders>
            <w:vAlign w:val="center"/>
          </w:tcPr>
          <w:p>
            <w:pPr>
              <w:jc w:val="center"/>
              <w:rPr>
                <w:rFonts w:hint="eastAsia" w:ascii="Times New Roman" w:hAnsi="Times New Roman" w:eastAsia="仿宋_GB2312" w:cs="仿宋_GB2312"/>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Q</w:t>
            </w:r>
            <w:r>
              <w:rPr>
                <w:rFonts w:ascii="Times New Roman" w:hAnsi="Times New Roman" w:eastAsia="仿宋_GB2312"/>
                <w:color w:val="auto"/>
                <w:szCs w:val="21"/>
              </w:rPr>
              <w:t>84</w:t>
            </w:r>
          </w:p>
        </w:tc>
        <w:tc>
          <w:tcPr>
            <w:tcW w:w="4336" w:type="dxa"/>
            <w:tcBorders>
              <w:tl2br w:val="nil"/>
              <w:tr2bl w:val="nil"/>
            </w:tcBorders>
            <w:vAlign w:val="center"/>
          </w:tcPr>
          <w:p>
            <w:pPr>
              <w:rPr>
                <w:rFonts w:eastAsia="仿宋_GB2312" w:asciiTheme="minorEastAsia" w:hAnsiTheme="minorEastAsia"/>
                <w:color w:val="auto"/>
                <w:szCs w:val="21"/>
              </w:rPr>
            </w:pPr>
            <w:r>
              <w:rPr>
                <w:rFonts w:hint="eastAsia" w:eastAsia="仿宋_GB2312" w:asciiTheme="minorEastAsia" w:hAnsiTheme="minorEastAsia"/>
                <w:color w:val="auto"/>
                <w:szCs w:val="21"/>
              </w:rPr>
              <w:t>卫生</w:t>
            </w:r>
          </w:p>
        </w:tc>
        <w:tc>
          <w:tcPr>
            <w:tcW w:w="2102" w:type="dxa"/>
            <w:vMerge w:val="continue"/>
            <w:tcBorders>
              <w:tl2br w:val="nil"/>
              <w:tr2bl w:val="nil"/>
            </w:tcBorders>
            <w:vAlign w:val="center"/>
          </w:tcPr>
          <w:p>
            <w:pPr>
              <w:jc w:val="center"/>
              <w:rPr>
                <w:rFonts w:hint="eastAsia" w:ascii="Times New Roman" w:hAnsi="Times New Roman" w:eastAsia="仿宋_GB2312" w:cs="仿宋_GB2312"/>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K702-K</w:t>
            </w:r>
            <w:r>
              <w:rPr>
                <w:rFonts w:ascii="Times New Roman" w:hAnsi="Times New Roman" w:eastAsia="仿宋_GB2312"/>
                <w:color w:val="auto"/>
                <w:szCs w:val="21"/>
              </w:rPr>
              <w:t>709</w:t>
            </w:r>
          </w:p>
        </w:tc>
        <w:tc>
          <w:tcPr>
            <w:tcW w:w="4336" w:type="dxa"/>
            <w:tcBorders>
              <w:tl2br w:val="nil"/>
              <w:tr2bl w:val="nil"/>
            </w:tcBorders>
            <w:vAlign w:val="center"/>
          </w:tcPr>
          <w:p>
            <w:pPr>
              <w:rPr>
                <w:rFonts w:eastAsia="仿宋_GB2312" w:asciiTheme="minorEastAsia" w:hAnsiTheme="minorEastAsia"/>
                <w:color w:val="auto"/>
                <w:szCs w:val="21"/>
              </w:rPr>
            </w:pPr>
            <w:r>
              <w:rPr>
                <w:rFonts w:hint="eastAsia" w:eastAsia="仿宋_GB2312" w:asciiTheme="minorEastAsia" w:hAnsiTheme="minorEastAsia"/>
                <w:color w:val="auto"/>
                <w:szCs w:val="21"/>
              </w:rPr>
              <w:t>房地产业（除房地产开发经营）</w:t>
            </w:r>
          </w:p>
        </w:tc>
        <w:tc>
          <w:tcPr>
            <w:tcW w:w="2102" w:type="dxa"/>
            <w:vMerge w:val="restart"/>
            <w:tcBorders>
              <w:tl2br w:val="nil"/>
              <w:tr2bl w:val="nil"/>
            </w:tcBorders>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1000万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L</w:t>
            </w:r>
          </w:p>
        </w:tc>
        <w:tc>
          <w:tcPr>
            <w:tcW w:w="4336" w:type="dxa"/>
            <w:tcBorders>
              <w:tl2br w:val="nil"/>
              <w:tr2bl w:val="nil"/>
            </w:tcBorders>
            <w:vAlign w:val="center"/>
          </w:tcPr>
          <w:p>
            <w:pPr>
              <w:rPr>
                <w:rFonts w:eastAsia="仿宋_GB2312" w:asciiTheme="minorEastAsia" w:hAnsiTheme="minorEastAsia"/>
                <w:color w:val="auto"/>
                <w:szCs w:val="21"/>
              </w:rPr>
            </w:pPr>
            <w:r>
              <w:rPr>
                <w:rFonts w:hint="eastAsia" w:eastAsia="仿宋_GB2312" w:asciiTheme="minorEastAsia" w:hAnsiTheme="minorEastAsia"/>
                <w:color w:val="auto"/>
                <w:szCs w:val="21"/>
              </w:rPr>
              <w:t>租赁</w:t>
            </w:r>
            <w:r>
              <w:rPr>
                <w:rFonts w:eastAsia="仿宋_GB2312" w:asciiTheme="minorEastAsia" w:hAnsiTheme="minorEastAsia"/>
                <w:color w:val="auto"/>
                <w:szCs w:val="21"/>
              </w:rPr>
              <w:t>和商务服务业</w:t>
            </w:r>
          </w:p>
        </w:tc>
        <w:tc>
          <w:tcPr>
            <w:tcW w:w="2102" w:type="dxa"/>
            <w:vMerge w:val="continue"/>
            <w:tcBorders>
              <w:tl2br w:val="nil"/>
              <w:tr2bl w:val="nil"/>
            </w:tcBorders>
            <w:vAlign w:val="center"/>
          </w:tcPr>
          <w:p>
            <w:pPr>
              <w:jc w:val="center"/>
              <w:rPr>
                <w:rFonts w:hint="eastAsia" w:ascii="Times New Roman" w:hAnsi="Times New Roman" w:eastAsia="仿宋_GB2312" w:cs="仿宋_GB2312"/>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M</w:t>
            </w:r>
          </w:p>
        </w:tc>
        <w:tc>
          <w:tcPr>
            <w:tcW w:w="4336" w:type="dxa"/>
            <w:tcBorders>
              <w:tl2br w:val="nil"/>
              <w:tr2bl w:val="nil"/>
            </w:tcBorders>
            <w:vAlign w:val="center"/>
          </w:tcPr>
          <w:p>
            <w:pPr>
              <w:rPr>
                <w:rFonts w:eastAsia="仿宋_GB2312" w:asciiTheme="minorEastAsia" w:hAnsiTheme="minorEastAsia"/>
                <w:color w:val="auto"/>
                <w:szCs w:val="21"/>
              </w:rPr>
            </w:pPr>
            <w:r>
              <w:rPr>
                <w:rFonts w:hint="eastAsia" w:eastAsia="仿宋_GB2312" w:asciiTheme="minorEastAsia" w:hAnsiTheme="minorEastAsia"/>
                <w:color w:val="auto"/>
                <w:szCs w:val="21"/>
              </w:rPr>
              <w:t>科学研究和技术服务业</w:t>
            </w:r>
          </w:p>
        </w:tc>
        <w:tc>
          <w:tcPr>
            <w:tcW w:w="2102" w:type="dxa"/>
            <w:vMerge w:val="continue"/>
            <w:tcBorders>
              <w:tl2br w:val="nil"/>
              <w:tr2bl w:val="nil"/>
            </w:tcBorders>
            <w:vAlign w:val="center"/>
          </w:tcPr>
          <w:p>
            <w:pPr>
              <w:jc w:val="center"/>
              <w:rPr>
                <w:rFonts w:hint="eastAsia" w:ascii="Times New Roman" w:hAnsi="Times New Roman" w:eastAsia="仿宋_GB2312" w:cs="仿宋_GB2312"/>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P</w:t>
            </w:r>
          </w:p>
        </w:tc>
        <w:tc>
          <w:tcPr>
            <w:tcW w:w="4336" w:type="dxa"/>
            <w:tcBorders>
              <w:tl2br w:val="nil"/>
              <w:tr2bl w:val="nil"/>
            </w:tcBorders>
            <w:vAlign w:val="center"/>
          </w:tcPr>
          <w:p>
            <w:pPr>
              <w:rPr>
                <w:rFonts w:eastAsia="仿宋_GB2312" w:asciiTheme="minorEastAsia" w:hAnsiTheme="minorEastAsia"/>
                <w:color w:val="auto"/>
                <w:szCs w:val="21"/>
              </w:rPr>
            </w:pPr>
            <w:r>
              <w:rPr>
                <w:rFonts w:eastAsia="仿宋_GB2312" w:asciiTheme="minorEastAsia" w:hAnsiTheme="minorEastAsia"/>
                <w:color w:val="auto"/>
                <w:szCs w:val="21"/>
              </w:rPr>
              <w:t>教育</w:t>
            </w:r>
          </w:p>
        </w:tc>
        <w:tc>
          <w:tcPr>
            <w:tcW w:w="2102" w:type="dxa"/>
            <w:vMerge w:val="continue"/>
            <w:tcBorders>
              <w:tl2br w:val="nil"/>
              <w:tr2bl w:val="nil"/>
            </w:tcBorders>
            <w:vAlign w:val="center"/>
          </w:tcPr>
          <w:p>
            <w:pPr>
              <w:jc w:val="center"/>
              <w:rPr>
                <w:rFonts w:hint="eastAsia" w:ascii="Times New Roman" w:hAnsi="Times New Roman" w:eastAsia="仿宋_GB2312" w:cs="仿宋_GB2312"/>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O</w:t>
            </w:r>
          </w:p>
        </w:tc>
        <w:tc>
          <w:tcPr>
            <w:tcW w:w="4336" w:type="dxa"/>
            <w:tcBorders>
              <w:tl2br w:val="nil"/>
              <w:tr2bl w:val="nil"/>
            </w:tcBorders>
            <w:vAlign w:val="center"/>
          </w:tcPr>
          <w:p>
            <w:pPr>
              <w:rPr>
                <w:rFonts w:eastAsia="仿宋_GB2312" w:asciiTheme="minorEastAsia" w:hAnsiTheme="minorEastAsia"/>
                <w:color w:val="auto"/>
                <w:szCs w:val="21"/>
              </w:rPr>
            </w:pPr>
            <w:r>
              <w:rPr>
                <w:rFonts w:eastAsia="仿宋_GB2312" w:asciiTheme="minorEastAsia" w:hAnsiTheme="minorEastAsia"/>
                <w:color w:val="auto"/>
                <w:szCs w:val="21"/>
              </w:rPr>
              <w:t>居民服务、修理和其他服务业</w:t>
            </w:r>
          </w:p>
        </w:tc>
        <w:tc>
          <w:tcPr>
            <w:tcW w:w="2102" w:type="dxa"/>
            <w:vMerge w:val="restart"/>
            <w:tcBorders>
              <w:tl2br w:val="nil"/>
              <w:tr2bl w:val="nil"/>
            </w:tcBorders>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500万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R</w:t>
            </w:r>
          </w:p>
        </w:tc>
        <w:tc>
          <w:tcPr>
            <w:tcW w:w="4336" w:type="dxa"/>
            <w:tcBorders>
              <w:tl2br w:val="nil"/>
              <w:tr2bl w:val="nil"/>
            </w:tcBorders>
            <w:vAlign w:val="center"/>
          </w:tcPr>
          <w:p>
            <w:pPr>
              <w:rPr>
                <w:rFonts w:eastAsia="仿宋_GB2312" w:asciiTheme="minorEastAsia" w:hAnsiTheme="minorEastAsia"/>
                <w:color w:val="auto"/>
                <w:szCs w:val="21"/>
              </w:rPr>
            </w:pPr>
            <w:r>
              <w:rPr>
                <w:rFonts w:eastAsia="仿宋_GB2312" w:asciiTheme="minorEastAsia" w:hAnsiTheme="minorEastAsia"/>
                <w:color w:val="auto"/>
                <w:szCs w:val="21"/>
              </w:rPr>
              <w:t>文化、体育和娱乐业</w:t>
            </w:r>
          </w:p>
        </w:tc>
        <w:tc>
          <w:tcPr>
            <w:tcW w:w="2102" w:type="dxa"/>
            <w:vMerge w:val="continue"/>
            <w:tcBorders>
              <w:tl2br w:val="nil"/>
              <w:tr2bl w:val="nil"/>
            </w:tcBorders>
            <w:vAlign w:val="center"/>
          </w:tcPr>
          <w:p>
            <w:pPr>
              <w:rPr>
                <w:rFonts w:asciiTheme="minorEastAsia" w:hAnsiTheme="minorEastAsia"/>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33" w:type="dxa"/>
            <w:tcBorders>
              <w:tl2br w:val="nil"/>
              <w:tr2bl w:val="nil"/>
            </w:tcBorders>
            <w:vAlign w:val="center"/>
          </w:tcPr>
          <w:p>
            <w:pPr>
              <w:rPr>
                <w:rFonts w:ascii="Times New Roman" w:hAnsi="Times New Roman" w:eastAsia="仿宋_GB2312"/>
                <w:color w:val="auto"/>
                <w:szCs w:val="21"/>
              </w:rPr>
            </w:pPr>
            <w:r>
              <w:rPr>
                <w:rFonts w:hint="eastAsia" w:ascii="Times New Roman" w:hAnsi="Times New Roman" w:eastAsia="仿宋_GB2312"/>
                <w:color w:val="auto"/>
                <w:szCs w:val="21"/>
              </w:rPr>
              <w:t>Q</w:t>
            </w:r>
            <w:r>
              <w:rPr>
                <w:rFonts w:ascii="Times New Roman" w:hAnsi="Times New Roman" w:eastAsia="仿宋_GB2312"/>
                <w:color w:val="auto"/>
                <w:szCs w:val="21"/>
              </w:rPr>
              <w:t>85</w:t>
            </w:r>
          </w:p>
        </w:tc>
        <w:tc>
          <w:tcPr>
            <w:tcW w:w="4336" w:type="dxa"/>
            <w:tcBorders>
              <w:tl2br w:val="nil"/>
              <w:tr2bl w:val="nil"/>
            </w:tcBorders>
            <w:vAlign w:val="center"/>
          </w:tcPr>
          <w:p>
            <w:pPr>
              <w:rPr>
                <w:rFonts w:eastAsia="仿宋_GB2312" w:asciiTheme="minorEastAsia" w:hAnsiTheme="minorEastAsia"/>
                <w:color w:val="auto"/>
                <w:szCs w:val="21"/>
              </w:rPr>
            </w:pPr>
            <w:r>
              <w:rPr>
                <w:rFonts w:eastAsia="仿宋_GB2312" w:asciiTheme="minorEastAsia" w:hAnsiTheme="minorEastAsia"/>
                <w:color w:val="auto"/>
                <w:szCs w:val="21"/>
              </w:rPr>
              <w:t>社会工作</w:t>
            </w:r>
          </w:p>
        </w:tc>
        <w:tc>
          <w:tcPr>
            <w:tcW w:w="2102" w:type="dxa"/>
            <w:vMerge w:val="continue"/>
            <w:tcBorders>
              <w:tl2br w:val="nil"/>
              <w:tr2bl w:val="nil"/>
            </w:tcBorders>
            <w:vAlign w:val="center"/>
          </w:tcPr>
          <w:p>
            <w:pPr>
              <w:rPr>
                <w:rFonts w:asciiTheme="minorEastAsia" w:hAnsiTheme="minorEastAsia"/>
                <w:color w:val="auto"/>
                <w:szCs w:val="21"/>
              </w:rPr>
            </w:pPr>
          </w:p>
        </w:tc>
      </w:tr>
    </w:tbl>
    <w:p>
      <w:pPr>
        <w:spacing w:line="600" w:lineRule="exact"/>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来源：国家统计局一套表统计调查制度</w:t>
      </w:r>
    </w:p>
    <w:p>
      <w:pPr>
        <w:spacing w:line="600" w:lineRule="exact"/>
        <w:ind w:firstLine="640" w:firstLineChars="200"/>
        <w:jc w:val="left"/>
        <w:rPr>
          <w:rFonts w:ascii="仿宋_GB2312" w:hAnsi="仿宋_GB2312" w:eastAsia="仿宋_GB2312" w:cs="仿宋_GB2312"/>
          <w:color w:val="auto"/>
          <w:sz w:val="32"/>
          <w:szCs w:val="32"/>
        </w:rPr>
        <w:sectPr>
          <w:pgSz w:w="11906" w:h="16838"/>
          <w:pgMar w:top="1440" w:right="1587" w:bottom="1644" w:left="1587" w:header="851" w:footer="992" w:gutter="0"/>
          <w:pgBorders>
            <w:top w:val="none" w:sz="0" w:space="0"/>
            <w:left w:val="none" w:sz="0" w:space="0"/>
            <w:bottom w:val="none" w:sz="0" w:space="0"/>
            <w:right w:val="none" w:sz="0" w:space="0"/>
          </w:pgBorders>
          <w:cols w:space="0" w:num="1"/>
          <w:docGrid w:type="lines" w:linePitch="312" w:charSpace="0"/>
        </w:sectPr>
      </w:pPr>
    </w:p>
    <w:p>
      <w:pPr>
        <w:spacing w:line="60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p>
    <w:p>
      <w:pPr>
        <w:spacing w:line="600" w:lineRule="exact"/>
        <w:ind w:left="0" w:leftChars="0" w:firstLine="0" w:firstLineChars="0"/>
        <w:jc w:val="left"/>
        <w:rPr>
          <w:rFonts w:ascii="仿宋_GB2312" w:hAnsi="仿宋_GB2312" w:eastAsia="仿宋_GB2312" w:cs="仿宋_GB2312"/>
          <w:color w:val="auto"/>
          <w:sz w:val="32"/>
          <w:szCs w:val="32"/>
        </w:rPr>
      </w:pPr>
      <w:r>
        <w:drawing>
          <wp:anchor distT="0" distB="0" distL="114300" distR="114300" simplePos="0" relativeHeight="251658240" behindDoc="0" locked="0" layoutInCell="1" allowOverlap="1">
            <wp:simplePos x="0" y="0"/>
            <wp:positionH relativeFrom="column">
              <wp:posOffset>26035</wp:posOffset>
            </wp:positionH>
            <wp:positionV relativeFrom="paragraph">
              <wp:posOffset>211455</wp:posOffset>
            </wp:positionV>
            <wp:extent cx="5539105" cy="7002780"/>
            <wp:effectExtent l="0" t="0" r="4445" b="762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539105" cy="7002780"/>
                    </a:xfrm>
                    <a:prstGeom prst="rect">
                      <a:avLst/>
                    </a:prstGeom>
                    <a:noFill/>
                    <a:ln>
                      <a:noFill/>
                    </a:ln>
                  </pic:spPr>
                </pic:pic>
              </a:graphicData>
            </a:graphic>
          </wp:anchor>
        </w:drawing>
      </w:r>
    </w:p>
    <w:p>
      <w:pPr>
        <w:spacing w:line="600" w:lineRule="exact"/>
        <w:ind w:left="0" w:leftChars="0" w:firstLine="0" w:firstLineChars="0"/>
        <w:jc w:val="left"/>
        <w:rPr>
          <w:rFonts w:ascii="仿宋_GB2312" w:hAnsi="仿宋_GB2312" w:eastAsia="仿宋_GB2312" w:cs="仿宋_GB2312"/>
          <w:color w:val="auto"/>
          <w:sz w:val="32"/>
          <w:szCs w:val="32"/>
        </w:rPr>
        <w:sectPr>
          <w:pgSz w:w="11906" w:h="16838"/>
          <w:pgMar w:top="1440" w:right="1587" w:bottom="1644" w:left="1587" w:header="851" w:footer="992" w:gutter="0"/>
          <w:pgBorders>
            <w:top w:val="none" w:sz="0" w:space="0"/>
            <w:left w:val="none" w:sz="0" w:space="0"/>
            <w:bottom w:val="none" w:sz="0" w:space="0"/>
            <w:right w:val="none" w:sz="0" w:space="0"/>
          </w:pgBorders>
          <w:cols w:space="0" w:num="1"/>
          <w:docGrid w:type="lines" w:linePitch="312" w:charSpace="0"/>
        </w:sectPr>
      </w:pPr>
    </w:p>
    <w:p>
      <w:pPr>
        <w:spacing w:line="600" w:lineRule="exact"/>
        <w:jc w:val="left"/>
        <w:rPr>
          <w:rFonts w:ascii="仿宋_GB2312" w:hAnsi="仿宋_GB2312" w:eastAsia="仿宋_GB2312" w:cs="仿宋_GB2312"/>
          <w:color w:val="auto"/>
          <w:sz w:val="32"/>
          <w:szCs w:val="32"/>
        </w:rPr>
      </w:pPr>
      <w:r>
        <w:drawing>
          <wp:anchor distT="0" distB="0" distL="114300" distR="114300" simplePos="0" relativeHeight="251659264" behindDoc="0" locked="0" layoutInCell="1" allowOverlap="1">
            <wp:simplePos x="0" y="0"/>
            <wp:positionH relativeFrom="column">
              <wp:posOffset>-34290</wp:posOffset>
            </wp:positionH>
            <wp:positionV relativeFrom="paragraph">
              <wp:posOffset>532765</wp:posOffset>
            </wp:positionV>
            <wp:extent cx="8725535" cy="4787265"/>
            <wp:effectExtent l="0" t="0" r="18415" b="13335"/>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8725535" cy="4787265"/>
                    </a:xfrm>
                    <a:prstGeom prst="rect">
                      <a:avLst/>
                    </a:prstGeom>
                    <a:noFill/>
                    <a:ln>
                      <a:noFill/>
                    </a:ln>
                  </pic:spPr>
                </pic:pic>
              </a:graphicData>
            </a:graphic>
          </wp:anchor>
        </w:drawing>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p>
    <w:sectPr>
      <w:pgSz w:w="16838" w:h="11906" w:orient="landscape"/>
      <w:pgMar w:top="1587" w:right="1440" w:bottom="1587" w:left="164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297E47"/>
    <w:rsid w:val="000E5E98"/>
    <w:rsid w:val="001833CB"/>
    <w:rsid w:val="004C2445"/>
    <w:rsid w:val="005713E6"/>
    <w:rsid w:val="005F3DAB"/>
    <w:rsid w:val="007A6AE9"/>
    <w:rsid w:val="00B67556"/>
    <w:rsid w:val="00CB2739"/>
    <w:rsid w:val="00F82F8F"/>
    <w:rsid w:val="02B43F4E"/>
    <w:rsid w:val="03297E47"/>
    <w:rsid w:val="047A6F56"/>
    <w:rsid w:val="04DA289D"/>
    <w:rsid w:val="08F77104"/>
    <w:rsid w:val="115B2031"/>
    <w:rsid w:val="12653840"/>
    <w:rsid w:val="148F522C"/>
    <w:rsid w:val="15973F95"/>
    <w:rsid w:val="16F40037"/>
    <w:rsid w:val="18BF2840"/>
    <w:rsid w:val="1918170B"/>
    <w:rsid w:val="1B49488B"/>
    <w:rsid w:val="1BF1770C"/>
    <w:rsid w:val="23595A0C"/>
    <w:rsid w:val="2AD9766F"/>
    <w:rsid w:val="2BFA24EC"/>
    <w:rsid w:val="343744AB"/>
    <w:rsid w:val="356A4316"/>
    <w:rsid w:val="368843D1"/>
    <w:rsid w:val="3C453263"/>
    <w:rsid w:val="3EE804D1"/>
    <w:rsid w:val="403B035C"/>
    <w:rsid w:val="41BA1224"/>
    <w:rsid w:val="427749FD"/>
    <w:rsid w:val="434F0D95"/>
    <w:rsid w:val="437F122B"/>
    <w:rsid w:val="43B830B3"/>
    <w:rsid w:val="47DD2150"/>
    <w:rsid w:val="4D7C4DF6"/>
    <w:rsid w:val="56FE3E33"/>
    <w:rsid w:val="5A2432DD"/>
    <w:rsid w:val="5ED96641"/>
    <w:rsid w:val="63486E8A"/>
    <w:rsid w:val="634E5C1B"/>
    <w:rsid w:val="65117F27"/>
    <w:rsid w:val="66E06C61"/>
    <w:rsid w:val="68B10892"/>
    <w:rsid w:val="699E6D02"/>
    <w:rsid w:val="70E92272"/>
    <w:rsid w:val="77C950B1"/>
    <w:rsid w:val="78974FB4"/>
    <w:rsid w:val="7A8D4092"/>
    <w:rsid w:val="7B1B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_"/>
    <w:basedOn w:val="7"/>
    <w:link w:val="9"/>
    <w:unhideWhenUsed/>
    <w:qFormat/>
    <w:uiPriority w:val="99"/>
    <w:rPr>
      <w:rFonts w:hint="eastAsia" w:ascii="MingLiU" w:hAnsi="MingLiU" w:eastAsia="MingLiU"/>
      <w:spacing w:val="30"/>
      <w:sz w:val="27"/>
    </w:rPr>
  </w:style>
  <w:style w:type="paragraph" w:customStyle="1" w:styleId="9">
    <w:name w:val="正文文本1"/>
    <w:basedOn w:val="1"/>
    <w:link w:val="8"/>
    <w:unhideWhenUsed/>
    <w:qFormat/>
    <w:uiPriority w:val="99"/>
    <w:pPr>
      <w:shd w:val="clear" w:color="auto" w:fill="FFFFFF"/>
      <w:spacing w:before="840" w:after="1020" w:line="240" w:lineRule="atLeast"/>
      <w:jc w:val="center"/>
    </w:pPr>
    <w:rPr>
      <w:rFonts w:hint="eastAsia" w:ascii="MingLiU" w:hAnsi="MingLiU" w:eastAsia="MingLiU"/>
      <w:spacing w:val="30"/>
      <w:sz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44;&#25991;&#27169;&#26495;&#65288;&#23485;&#39029;&#36793;&#36317;&#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公文模板（宽页边距）.dotx</Template>
  <Company>武汉市发改委</Company>
  <Pages>7</Pages>
  <Words>376</Words>
  <Characters>2148</Characters>
  <Lines>17</Lines>
  <Paragraphs>5</Paragraphs>
  <TotalTime>1</TotalTime>
  <ScaleCrop>false</ScaleCrop>
  <LinksUpToDate>false</LinksUpToDate>
  <CharactersWithSpaces>2519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2020-06-12T01:57:00Z</dcterms:created>
  <dc:creator>Xie</dc:creator>
  <cp:lastModifiedBy>dd1394686039</cp:lastModifiedBy>
  <cp:lastPrinted>2020-06-22T00:45:21Z</cp:lastPrinted>
  <dcterms:modified xsi:type="dcterms:W3CDTF">2020-06-22T07:28:54Z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