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CB" w:rsidRDefault="00E23B81">
      <w:pPr>
        <w:shd w:val="clear" w:color="auto" w:fill="FFFFFF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</w:p>
    <w:p w:rsidR="008049CB" w:rsidRDefault="008049CB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49CB" w:rsidRDefault="00E23B81">
      <w:pPr>
        <w:spacing w:line="62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进一步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推进大健康和生物技术</w:t>
      </w:r>
    </w:p>
    <w:p w:rsidR="008049CB" w:rsidRDefault="00E23B81">
      <w:pPr>
        <w:spacing w:line="62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产业发展的政策措施</w:t>
      </w:r>
    </w:p>
    <w:p w:rsidR="008049CB" w:rsidRDefault="00E23B81">
      <w:pPr>
        <w:spacing w:line="54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DC5D45">
        <w:rPr>
          <w:rFonts w:ascii="楷体" w:eastAsia="楷体" w:hAnsi="楷体" w:cs="楷体" w:hint="eastAsia"/>
          <w:sz w:val="32"/>
          <w:szCs w:val="32"/>
        </w:rPr>
        <w:t>征求意见</w:t>
      </w:r>
      <w:r>
        <w:rPr>
          <w:rFonts w:ascii="楷体" w:eastAsia="楷体" w:hAnsi="楷体" w:cs="楷体" w:hint="eastAsia"/>
          <w:sz w:val="32"/>
          <w:szCs w:val="32"/>
        </w:rPr>
        <w:t>稿）</w:t>
      </w:r>
    </w:p>
    <w:p w:rsidR="008049CB" w:rsidRDefault="008049CB" w:rsidP="00DC5D45">
      <w:pPr>
        <w:pStyle w:val="2"/>
        <w:ind w:firstLine="560"/>
      </w:pPr>
    </w:p>
    <w:p w:rsidR="008049CB" w:rsidRDefault="00E23B81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sz w:val="32"/>
          <w:szCs w:val="32"/>
        </w:rPr>
        <w:t>省委、省政府《关于加快全省大健康产业发展的意见》精神，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助力我市“五个中心”建设</w:t>
      </w:r>
      <w:r>
        <w:rPr>
          <w:rFonts w:ascii="Times New Roman" w:eastAsia="仿宋_GB2312" w:hAnsi="Times New Roman" w:cs="Times New Roman"/>
          <w:sz w:val="32"/>
          <w:szCs w:val="32"/>
        </w:rPr>
        <w:t>，加快打造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965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产业体系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深入实施支柱产业壮大计划和战略性新兴产业倍增计划，现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进一步推进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我市</w:t>
      </w:r>
      <w:r>
        <w:rPr>
          <w:rFonts w:ascii="Times New Roman" w:eastAsia="仿宋_GB2312" w:hAnsi="Times New Roman" w:cs="Times New Roman"/>
          <w:sz w:val="32"/>
          <w:szCs w:val="32"/>
        </w:rPr>
        <w:t>大健康和生物技术产业发展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政策措施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049CB" w:rsidRDefault="00E23B8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）引进培育头部企业。</w:t>
      </w:r>
      <w:r>
        <w:rPr>
          <w:rFonts w:ascii="Times New Roman" w:eastAsia="仿宋_GB2312" w:hAnsi="Times New Roman" w:cs="Times New Roman"/>
          <w:sz w:val="32"/>
          <w:szCs w:val="32"/>
        </w:rPr>
        <w:t>在生物医药、医疗器械、医药流通、生物农业、健康服务等领域，以市场为导向，开展精准招商、加强精准支持，引进培育一批具有较强创新能力和市场竞争力的头部企业，并按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一事一议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原则重点支持。（牵头单位：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市商务局，</w:t>
      </w:r>
      <w:r>
        <w:rPr>
          <w:rFonts w:ascii="Times New Roman" w:eastAsia="仿宋_GB2312" w:hAnsi="Times New Roman" w:cs="Times New Roman"/>
          <w:sz w:val="32"/>
          <w:szCs w:val="32"/>
        </w:rPr>
        <w:t>配合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单位：</w:t>
      </w:r>
      <w:r>
        <w:rPr>
          <w:rFonts w:ascii="Times New Roman" w:eastAsia="仿宋_GB2312" w:hAnsi="Times New Roman" w:cs="Times New Roman"/>
          <w:sz w:val="32"/>
          <w:szCs w:val="32"/>
        </w:rPr>
        <w:t>市民政局、市卫健委）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）推动企业转型升级。</w:t>
      </w:r>
      <w:r>
        <w:rPr>
          <w:rFonts w:ascii="Times New Roman" w:eastAsia="仿宋_GB2312" w:hAnsi="Times New Roman" w:cs="Times New Roman"/>
          <w:sz w:val="32"/>
          <w:szCs w:val="32"/>
        </w:rPr>
        <w:t>鼓励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大健康和生物技术产业制造业</w:t>
      </w:r>
      <w:r>
        <w:rPr>
          <w:rFonts w:ascii="Times New Roman" w:eastAsia="仿宋_GB2312" w:hAnsi="Times New Roman" w:cs="Times New Roman"/>
          <w:sz w:val="32"/>
          <w:szCs w:val="32"/>
        </w:rPr>
        <w:t>企业实施绿色化、智能化、数字化改造，按照</w:t>
      </w:r>
      <w:r>
        <w:rPr>
          <w:rFonts w:ascii="Times New Roman" w:eastAsia="仿宋_GB2312" w:hAnsi="Times New Roman" w:cs="Times New Roman"/>
          <w:sz w:val="32"/>
          <w:szCs w:val="32"/>
        </w:rPr>
        <w:t>改造</w:t>
      </w:r>
      <w:r>
        <w:rPr>
          <w:rFonts w:ascii="Times New Roman" w:eastAsia="仿宋_GB2312" w:hAnsi="Times New Roman" w:cs="Times New Roman"/>
          <w:sz w:val="32"/>
          <w:szCs w:val="32"/>
        </w:rPr>
        <w:t>有效期（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年以内）实际完成的设备购置和改造费用总额的</w:t>
      </w:r>
      <w:r>
        <w:rPr>
          <w:rFonts w:ascii="Times New Roman" w:eastAsia="仿宋_GB2312" w:hAnsi="Times New Roman" w:cs="Times New Roman"/>
          <w:sz w:val="32"/>
          <w:szCs w:val="32"/>
        </w:rPr>
        <w:t>8%</w:t>
      </w:r>
      <w:r>
        <w:rPr>
          <w:rFonts w:ascii="Times New Roman" w:eastAsia="仿宋_GB2312" w:hAnsi="Times New Roman" w:cs="Times New Roman"/>
          <w:sz w:val="32"/>
          <w:szCs w:val="32"/>
        </w:rPr>
        <w:t>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，单项最高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万元。（责任单位：市经信局、各区人民政府）</w:t>
      </w:r>
    </w:p>
    <w:p w:rsidR="008049CB" w:rsidRDefault="00E23B81">
      <w:pPr>
        <w:pStyle w:val="2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三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）鼓励企业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并购重组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积极支持有条件的企业通过兼并重组做大做强，对企业通过并购获取新技术、新产品产生的费用予以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，单个项目最高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万元。（责任单位：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市财政局、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市卫健委）鼓励各类机构通过证券投资基金、股权投资基金、创业投资基金等形式参与企业兼并重组。（责任单位：市金融局）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" w:name="_Toc49416984"/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四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新药研发应用。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一类</w:t>
      </w:r>
      <w:r>
        <w:rPr>
          <w:rFonts w:ascii="Times New Roman" w:eastAsia="仿宋_GB2312" w:hAnsi="Times New Roman" w:cs="Times New Roman"/>
          <w:sz w:val="32"/>
          <w:szCs w:val="32"/>
        </w:rPr>
        <w:t>生物制品、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一类</w:t>
      </w:r>
      <w:r>
        <w:rPr>
          <w:rFonts w:ascii="Times New Roman" w:eastAsia="仿宋_GB2312" w:hAnsi="Times New Roman" w:cs="Times New Roman"/>
          <w:sz w:val="32"/>
          <w:szCs w:val="32"/>
        </w:rPr>
        <w:t>化学药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和一类</w:t>
      </w:r>
      <w:r>
        <w:rPr>
          <w:rFonts w:ascii="Times New Roman" w:eastAsia="仿宋_GB2312" w:hAnsi="Times New Roman" w:cs="Times New Roman"/>
          <w:sz w:val="32"/>
          <w:szCs w:val="32"/>
        </w:rPr>
        <w:t>中药，按单个产品研发费用的</w:t>
      </w:r>
      <w:r>
        <w:rPr>
          <w:rFonts w:ascii="Times New Roman" w:eastAsia="仿宋_GB2312" w:hAnsi="Times New Roman" w:cs="Times New Roman"/>
          <w:sz w:val="32"/>
          <w:szCs w:val="32"/>
        </w:rPr>
        <w:t>25%</w:t>
      </w:r>
      <w:r>
        <w:rPr>
          <w:rFonts w:ascii="Times New Roman" w:eastAsia="仿宋_GB2312" w:hAnsi="Times New Roman" w:cs="Times New Roman"/>
          <w:sz w:val="32"/>
          <w:szCs w:val="32"/>
        </w:rPr>
        <w:t>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，获得临床试验批件的最高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万元，获得注册批件的最高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万元；对改良型新药和古代经典名方中药复方制剂，按单个产品研发费用的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，获得临床批件的最高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万元、获得注册批件的最高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万元；对于其他药品获得注册批件的，按单个产品研发费用的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，最高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万元；单个企业每年最高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。（牵头单位：市科技局，配合单位：市市场监管局、市卫生健康委）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五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仿制药一致性评价。</w:t>
      </w:r>
      <w:r>
        <w:rPr>
          <w:rFonts w:ascii="Times New Roman" w:eastAsia="仿宋_GB2312" w:hAnsi="Times New Roman" w:cs="Times New Roman"/>
          <w:sz w:val="32"/>
          <w:szCs w:val="32"/>
        </w:rPr>
        <w:t>对完成质量和疗效一致性评价的仿制药，给予每个品种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，对于全国前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位通过一致性评价的品种，再给予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；单个企业每年最高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万元。（牵头单位：市科技局，配合单位：市市场监管局）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" w:name="_Toc49416987"/>
      <w:bookmarkStart w:id="3" w:name="_Toc536608686"/>
      <w:bookmarkStart w:id="4" w:name="_Toc536608679"/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六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医疗器械提档升级。</w:t>
      </w:r>
      <w:r>
        <w:rPr>
          <w:rFonts w:ascii="Times New Roman" w:eastAsia="仿宋_GB2312" w:hAnsi="Times New Roman" w:cs="Times New Roman"/>
          <w:sz w:val="32"/>
          <w:szCs w:val="32"/>
        </w:rPr>
        <w:t>对获得二、三类医疗器械注册证的产品（不含二类诊断试剂及设备零部件），按照前阶段研发费用的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25%</w:t>
      </w:r>
      <w:r>
        <w:rPr>
          <w:rFonts w:ascii="Times New Roman" w:eastAsia="仿宋_GB2312" w:hAnsi="Times New Roman" w:cs="Times New Roman"/>
          <w:sz w:val="32"/>
          <w:szCs w:val="32"/>
        </w:rPr>
        <w:t>分别给予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，单个产</w:t>
      </w:r>
      <w:r>
        <w:rPr>
          <w:rFonts w:ascii="Times New Roman" w:eastAsia="仿宋_GB2312" w:hAnsi="Times New Roman" w:cs="Times New Roman"/>
          <w:sz w:val="32"/>
          <w:szCs w:val="32"/>
        </w:rPr>
        <w:t>品分别最高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万元。（牵头单位：市科技局，配合单位：市市场监管局、市卫健委）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七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生物兽药发展。</w:t>
      </w:r>
      <w:r>
        <w:rPr>
          <w:rFonts w:ascii="Times New Roman" w:eastAsia="仿宋_GB2312" w:hAnsi="Times New Roman" w:cs="Times New Roman"/>
          <w:sz w:val="32"/>
          <w:szCs w:val="32"/>
        </w:rPr>
        <w:t>对创新型兽用生物制品获得注册证给予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；创新型兽药和中兽药获得注册证给予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。对兽用诊断试剂获得一、二、三类新兽药注册证的，分别给予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万元和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。（责任单位：市科技局）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八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生物育种创新。</w:t>
      </w:r>
      <w:r>
        <w:rPr>
          <w:rFonts w:ascii="Times New Roman" w:eastAsia="仿宋_GB2312" w:hAnsi="Times New Roman" w:cs="Times New Roman"/>
          <w:sz w:val="32"/>
          <w:szCs w:val="32"/>
        </w:rPr>
        <w:t>鼓励企业开展农作物品种审定绿色通道试验，获得国家植物新品种保护权证书的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每个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；经农业农村部审定的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主要农作物新品种、</w:t>
      </w:r>
      <w:r>
        <w:rPr>
          <w:rFonts w:ascii="Times New Roman" w:eastAsia="仿宋_GB2312" w:hAnsi="Times New Roman" w:cs="Times New Roman"/>
          <w:sz w:val="32"/>
          <w:szCs w:val="32"/>
        </w:rPr>
        <w:t>畜禽新品系（配套系）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每个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；通过国家级畜禽新品种命名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、水产新品种审定</w:t>
      </w:r>
      <w:r>
        <w:rPr>
          <w:rFonts w:ascii="Times New Roman" w:eastAsia="仿宋_GB2312" w:hAnsi="Times New Roman" w:cs="Times New Roman"/>
          <w:sz w:val="32"/>
          <w:szCs w:val="32"/>
        </w:rPr>
        <w:t>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每个给予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；单个企业每年最高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万元。（责任单位：市农业农村局）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九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推动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健康食品提质升级。</w:t>
      </w:r>
      <w:r>
        <w:rPr>
          <w:rFonts w:ascii="Times New Roman" w:eastAsia="仿宋_GB2312" w:hAnsi="Times New Roman" w:cs="Times New Roman"/>
          <w:sz w:val="32"/>
          <w:szCs w:val="32"/>
        </w:rPr>
        <w:t>加快健康食品研发，对获得国家特殊医学用途配方食品注册批件的，每项给予最高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，单个企业每年最高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万元。（牵头单位：市市场监管局，配合单位：市卫健委）</w:t>
      </w:r>
    </w:p>
    <w:bookmarkEnd w:id="2"/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（十）推动线上医疗服务发展。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>
        <w:rPr>
          <w:rFonts w:ascii="Times New Roman" w:eastAsia="仿宋_GB2312" w:hAnsi="Times New Roman" w:cs="Times New Roman"/>
          <w:sz w:val="32"/>
          <w:szCs w:val="32"/>
        </w:rPr>
        <w:t>互联网医院创新发展，推广慢性病互联网复诊、远程医疗、互联网健康咨询等模式。（责任单位：市卫健委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将符合条件的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医疗服务费用纳入医保支付范围。（责任单位：市医保局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</w:p>
    <w:bookmarkEnd w:id="3"/>
    <w:bookmarkEnd w:id="4"/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（十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）加快医疗健康服务数字化。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医药流通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线上线下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融合发展，建立药品流通企业、医疗机构、电子商务企业合作平台。</w:t>
      </w:r>
      <w:r>
        <w:rPr>
          <w:rFonts w:ascii="Times New Roman" w:eastAsia="仿宋_GB2312" w:hAnsi="Times New Roman" w:cs="Times New Roman"/>
          <w:sz w:val="32"/>
          <w:szCs w:val="32"/>
        </w:rPr>
        <w:t>探索医疗卫生机构处方信息与药品零售消费信息互联互通、实时共享机制，搭建市级处方流转平台，支持线上开具处方药品的第三方配送。（牵头单位：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健委，配合单位：市经信局、市政数局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lastRenderedPageBreak/>
        <w:t>（十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）支持产业创新能力提升。</w:t>
      </w:r>
      <w:r>
        <w:rPr>
          <w:rFonts w:ascii="Times New Roman" w:eastAsia="仿宋_GB2312" w:hAnsi="Times New Roman" w:cs="Times New Roman"/>
          <w:sz w:val="32"/>
          <w:szCs w:val="32"/>
        </w:rPr>
        <w:t>设立产业创新能力专项，每年投入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万元支持企业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高校和科研院所开展</w:t>
      </w:r>
      <w:r>
        <w:rPr>
          <w:rFonts w:ascii="Times New Roman" w:eastAsia="仿宋_GB2312" w:hAnsi="Times New Roman" w:cs="Times New Roman"/>
          <w:sz w:val="32"/>
          <w:szCs w:val="32"/>
        </w:rPr>
        <w:t>关键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核心</w:t>
      </w:r>
      <w:r>
        <w:rPr>
          <w:rFonts w:ascii="Times New Roman" w:eastAsia="仿宋_GB2312" w:hAnsi="Times New Roman" w:cs="Times New Roman"/>
          <w:sz w:val="32"/>
          <w:szCs w:val="32"/>
        </w:rPr>
        <w:t>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协同攻关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重大技术成果</w:t>
      </w:r>
      <w:r>
        <w:rPr>
          <w:rFonts w:ascii="Times New Roman" w:eastAsia="仿宋_GB2312" w:hAnsi="Times New Roman" w:cs="Times New Roman"/>
          <w:sz w:val="32"/>
          <w:szCs w:val="32"/>
        </w:rPr>
        <w:t>产业化和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公共服务</w:t>
      </w:r>
      <w:r>
        <w:rPr>
          <w:rFonts w:ascii="Times New Roman" w:eastAsia="仿宋_GB2312" w:hAnsi="Times New Roman" w:cs="Times New Roman"/>
          <w:sz w:val="32"/>
          <w:szCs w:val="32"/>
        </w:rPr>
        <w:t>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示范</w:t>
      </w:r>
      <w:r>
        <w:rPr>
          <w:rFonts w:ascii="Times New Roman" w:eastAsia="仿宋_GB2312" w:hAnsi="Times New Roman" w:cs="Times New Roman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（牵</w:t>
      </w:r>
      <w:r>
        <w:rPr>
          <w:rFonts w:ascii="Times New Roman" w:eastAsia="仿宋_GB2312" w:hAnsi="Times New Roman" w:cs="Times New Roman"/>
          <w:sz w:val="32"/>
          <w:szCs w:val="32"/>
        </w:rPr>
        <w:t>头单位：市发改委，配合单位：市财政局）对新获批建设的国家产业创新中心、技术创新中心、制造业创新中心按现行政策予以支持，对新获批的国家工程研究中心、企业技术中心、临床医学研究中心等平台，给予一次性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。（责任单位：市发改委、市科技局、市经信局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按职责分工落实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5" w:name="_Toc49417004"/>
      <w:r>
        <w:rPr>
          <w:rFonts w:ascii="楷体" w:eastAsia="楷体" w:hAnsi="楷体" w:cs="楷体"/>
          <w:sz w:val="32"/>
          <w:szCs w:val="32"/>
          <w:shd w:val="clear" w:color="auto" w:fill="FFFFFF"/>
        </w:rPr>
        <w:t>（十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三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）鼓励本土创新产品应用</w:t>
      </w:r>
      <w:bookmarkEnd w:id="5"/>
      <w:r>
        <w:rPr>
          <w:rFonts w:ascii="楷体" w:eastAsia="楷体" w:hAnsi="楷体" w:cs="楷体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大健康和生物技术创新产品认定工作，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/>
          <w:sz w:val="32"/>
          <w:szCs w:val="32"/>
        </w:rPr>
        <w:t>首台（</w:t>
      </w:r>
      <w:r>
        <w:rPr>
          <w:rFonts w:ascii="Times New Roman" w:eastAsia="仿宋_GB2312" w:hAnsi="Times New Roman" w:cs="Times New Roman"/>
          <w:sz w:val="32"/>
          <w:szCs w:val="32"/>
        </w:rPr>
        <w:t>批、套）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创新产品</w:t>
      </w:r>
      <w:r>
        <w:rPr>
          <w:rFonts w:ascii="Times New Roman" w:eastAsia="仿宋_GB2312" w:hAnsi="Times New Roman" w:cs="Times New Roman"/>
          <w:sz w:val="32"/>
          <w:szCs w:val="32"/>
        </w:rPr>
        <w:t>应用示</w:t>
      </w:r>
      <w:r>
        <w:rPr>
          <w:rFonts w:ascii="Times New Roman" w:eastAsia="仿宋_GB2312" w:hAnsi="Times New Roman" w:cs="Times New Roman"/>
          <w:sz w:val="32"/>
          <w:szCs w:val="32"/>
        </w:rPr>
        <w:t>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。对</w:t>
      </w:r>
      <w:r>
        <w:rPr>
          <w:rFonts w:ascii="Times New Roman" w:eastAsia="仿宋_GB2312" w:hAnsi="Times New Roman" w:cs="Times New Roman"/>
          <w:sz w:val="32"/>
          <w:szCs w:val="32"/>
        </w:rPr>
        <w:t>本市医疗机构首次采购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应用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的市级</w:t>
      </w:r>
      <w:r>
        <w:rPr>
          <w:rFonts w:ascii="Times New Roman" w:eastAsia="仿宋_GB2312" w:hAnsi="Times New Roman" w:cs="Times New Roman"/>
          <w:sz w:val="32"/>
          <w:szCs w:val="32"/>
        </w:rPr>
        <w:t>创新产品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实际采购</w:t>
      </w:r>
      <w:r>
        <w:rPr>
          <w:rFonts w:ascii="Times New Roman" w:eastAsia="仿宋_GB2312" w:hAnsi="Times New Roman" w:cs="Times New Roman"/>
          <w:sz w:val="32"/>
          <w:szCs w:val="32"/>
        </w:rPr>
        <w:t>金额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％给予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单个医疗</w:t>
      </w:r>
      <w:r>
        <w:rPr>
          <w:rFonts w:ascii="Times New Roman" w:eastAsia="仿宋_GB2312" w:hAnsi="Times New Roman" w:cs="Times New Roman"/>
          <w:sz w:val="32"/>
          <w:szCs w:val="32"/>
        </w:rPr>
        <w:t>机构每年最高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万元（牵头单位：市科技局，配合单位：市发改委、市卫健委、市财政局）。支持全市创新产品纳入医保目录，支持</w:t>
      </w:r>
      <w:r>
        <w:rPr>
          <w:rFonts w:ascii="Times New Roman" w:eastAsia="仿宋_GB2312" w:hAnsi="Times New Roman" w:cs="Times New Roman"/>
          <w:sz w:val="32"/>
          <w:szCs w:val="32"/>
        </w:rPr>
        <w:t>本土企业参加国家药品集中带量采购。（责任单位：市医保局）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（十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四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提升创新服务保障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争创国家医学中心和国家区域医疗中心（责任单位：市卫健委，配合单位：市发改委），争设</w:t>
      </w:r>
      <w:r>
        <w:rPr>
          <w:rFonts w:ascii="Times New Roman" w:eastAsia="仿宋_GB2312" w:hAnsi="Times New Roman" w:cs="Times New Roman"/>
          <w:sz w:val="32"/>
          <w:szCs w:val="32"/>
        </w:rPr>
        <w:t>国家级药品和医疗器械区域审评检查分中心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助力创新产品和应急攻关技术纳入审评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绿色通道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（责任单位：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市市场监管局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探索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sz w:val="32"/>
          <w:szCs w:val="32"/>
        </w:rPr>
        <w:t>健康医疗大数据、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临床生物样本、生物医药数据等战略资源流动融合和开放共享，建设区域临床研究伦理委员会，试点伦理审查机制衔接互认。（牵头单位：市科技局，配合单位：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市卫健委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:rsidR="008049CB" w:rsidRDefault="00E23B81">
      <w:pPr>
        <w:pStyle w:val="a7"/>
        <w:overflowPunct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lastRenderedPageBreak/>
        <w:t>（十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五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）精准引进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创新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人才。</w:t>
      </w:r>
      <w:r>
        <w:rPr>
          <w:rFonts w:ascii="Times New Roman" w:eastAsia="仿宋_GB2312" w:hAnsi="Times New Roman" w:cs="Times New Roman"/>
          <w:sz w:val="32"/>
          <w:szCs w:val="32"/>
        </w:rPr>
        <w:t>精准引进行业领军人才和创新团队，支持高层次人才申报国家、省、市重大人才工程项目，单个团队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项目给予最高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（牵头单位：市委组织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部（招才局），配合单位：</w:t>
      </w:r>
      <w:r>
        <w:rPr>
          <w:rFonts w:ascii="Times New Roman" w:eastAsia="仿宋_GB2312" w:hAnsi="Times New Roman" w:cs="Times New Roman"/>
          <w:sz w:val="32"/>
          <w:szCs w:val="32"/>
        </w:rPr>
        <w:t>市科技局、市卫健委、市科协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。发挥院士专家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高端</w:t>
      </w:r>
      <w:r>
        <w:rPr>
          <w:rFonts w:ascii="Times New Roman" w:eastAsia="仿宋_GB2312" w:hAnsi="Times New Roman" w:cs="Times New Roman"/>
          <w:sz w:val="32"/>
          <w:szCs w:val="32"/>
        </w:rPr>
        <w:t>优势，对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>
        <w:rPr>
          <w:rFonts w:ascii="Times New Roman" w:eastAsia="仿宋_GB2312" w:hAnsi="Times New Roman" w:cs="Times New Roman"/>
          <w:sz w:val="32"/>
          <w:szCs w:val="32"/>
        </w:rPr>
        <w:t>引领的重大科技创新和产业化项目，采取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一事一议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方式给予支持，每个项目给予最低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资金支持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（牵头单位：</w:t>
      </w:r>
      <w:r>
        <w:rPr>
          <w:rFonts w:ascii="Times New Roman" w:eastAsia="仿宋_GB2312" w:hAnsi="Times New Roman" w:cs="Times New Roman"/>
          <w:sz w:val="32"/>
          <w:szCs w:val="32"/>
        </w:rPr>
        <w:t>市科技局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，配合单位：</w:t>
      </w:r>
      <w:r>
        <w:rPr>
          <w:rFonts w:ascii="Times New Roman" w:eastAsia="仿宋_GB2312" w:hAnsi="Times New Roman" w:cs="Times New Roman"/>
          <w:sz w:val="32"/>
          <w:szCs w:val="32"/>
        </w:rPr>
        <w:t>市科协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:rsidR="008049CB" w:rsidRDefault="00E23B81">
      <w:pPr>
        <w:pStyle w:val="a7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十六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）加大财政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金融</w:t>
      </w:r>
      <w:r>
        <w:rPr>
          <w:rFonts w:ascii="楷体" w:eastAsia="楷体" w:hAnsi="楷体" w:cs="楷体"/>
          <w:sz w:val="32"/>
          <w:szCs w:val="32"/>
          <w:shd w:val="clear" w:color="auto" w:fill="FFFFFF"/>
        </w:rPr>
        <w:t>支持力度。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市级财政预算每年安排专项资金，用于支持全市大健康和生物技术产业发展（责任单位：市财政局）。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设立总规模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亿元的武汉大健康和生物技术产业投资基金，发挥市区财政资金杠杆作用，撬动</w:t>
      </w:r>
      <w:bookmarkStart w:id="6" w:name="baidusnap3"/>
      <w:bookmarkEnd w:id="6"/>
      <w:r>
        <w:rPr>
          <w:rFonts w:ascii="Times New Roman" w:eastAsia="仿宋_GB2312" w:hAnsi="Times New Roman" w:cs="Times New Roman"/>
          <w:kern w:val="0"/>
          <w:sz w:val="32"/>
          <w:szCs w:val="32"/>
        </w:rPr>
        <w:t>各类社会资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形成千亿规模基金群。（牵头单位：市产业投资集团，配合单位：市金融局、市财政局、各区人民政府）</w:t>
      </w:r>
      <w:bookmarkStart w:id="7" w:name="_Toc49417005"/>
    </w:p>
    <w:bookmarkEnd w:id="7"/>
    <w:p w:rsidR="008049CB" w:rsidRDefault="00E23B81">
      <w:pPr>
        <w:pStyle w:val="2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本文件自公布之日起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>
        <w:rPr>
          <w:rFonts w:ascii="Times New Roman" w:eastAsia="仿宋_GB2312" w:hAnsi="Times New Roman" w:cs="Times New Roman"/>
          <w:sz w:val="32"/>
          <w:szCs w:val="32"/>
        </w:rPr>
        <w:t>施行，有效期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年。适用于在我市进行注册登记，并从事生物医药、医疗器械、医药流通、生物农业、健康服务等领域的企业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和机构，所支持的产品、技术等应在我市实现产业化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与我市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其他同类政策意见有重复的</w:t>
      </w:r>
      <w:r>
        <w:rPr>
          <w:rFonts w:ascii="Times New Roman" w:eastAsia="仿宋_GB2312" w:hAnsi="Times New Roman" w:cs="Times New Roman"/>
          <w:sz w:val="32"/>
          <w:szCs w:val="32"/>
        </w:rPr>
        <w:t>，按照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“从优、</w:t>
      </w:r>
      <w:r>
        <w:rPr>
          <w:rFonts w:ascii="Times New Roman" w:eastAsia="仿宋_GB2312" w:hAnsi="Times New Roman" w:cs="Times New Roman"/>
          <w:sz w:val="32"/>
          <w:szCs w:val="32"/>
        </w:rPr>
        <w:t>就高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不重复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的原则执行。</w:t>
      </w:r>
    </w:p>
    <w:p w:rsidR="008049CB" w:rsidRDefault="00E23B81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本文件由市发展和改革委员会解释。</w:t>
      </w:r>
      <w:bookmarkEnd w:id="1"/>
    </w:p>
    <w:p w:rsidR="008049CB" w:rsidRDefault="008049CB">
      <w:pPr>
        <w:spacing w:line="560" w:lineRule="exact"/>
        <w:ind w:firstLineChars="200" w:firstLine="420"/>
        <w:rPr>
          <w:rFonts w:ascii="Times New Roman" w:hAnsi="Times New Roman" w:cs="Times New Roman"/>
        </w:rPr>
      </w:pPr>
    </w:p>
    <w:p w:rsidR="008049CB" w:rsidRDefault="008049CB">
      <w:pPr>
        <w:pStyle w:val="2"/>
        <w:spacing w:line="560" w:lineRule="exact"/>
        <w:ind w:firstLine="560"/>
        <w:rPr>
          <w:rFonts w:ascii="Times New Roman" w:hAnsi="Times New Roman" w:cs="Times New Roman"/>
        </w:rPr>
      </w:pPr>
    </w:p>
    <w:p w:rsidR="008049CB" w:rsidRDefault="008049CB">
      <w:pPr>
        <w:pStyle w:val="2"/>
        <w:spacing w:line="560" w:lineRule="exact"/>
        <w:ind w:firstLine="562"/>
        <w:rPr>
          <w:rFonts w:ascii="Times New Roman" w:eastAsia="仿宋_GB2312" w:hAnsi="Times New Roman" w:cs="Times New Roman"/>
          <w:b/>
          <w:bCs/>
        </w:rPr>
      </w:pPr>
    </w:p>
    <w:sectPr w:rsidR="008049CB">
      <w:pgSz w:w="11906" w:h="16838"/>
      <w:pgMar w:top="2098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1" w:rsidRDefault="00E23B81" w:rsidP="00DC5D45">
      <w:r>
        <w:separator/>
      </w:r>
    </w:p>
  </w:endnote>
  <w:endnote w:type="continuationSeparator" w:id="0">
    <w:p w:rsidR="00E23B81" w:rsidRDefault="00E23B81" w:rsidP="00DC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1" w:rsidRDefault="00E23B81" w:rsidP="00DC5D45">
      <w:r>
        <w:separator/>
      </w:r>
    </w:p>
  </w:footnote>
  <w:footnote w:type="continuationSeparator" w:id="0">
    <w:p w:rsidR="00E23B81" w:rsidRDefault="00E23B81" w:rsidP="00DC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71"/>
    <w:rsid w:val="BA1F3290"/>
    <w:rsid w:val="CDDF5E16"/>
    <w:rsid w:val="D8ED1C6C"/>
    <w:rsid w:val="F4FE7489"/>
    <w:rsid w:val="FED4F009"/>
    <w:rsid w:val="00022BD4"/>
    <w:rsid w:val="000C3AEF"/>
    <w:rsid w:val="000E7F05"/>
    <w:rsid w:val="001E1E12"/>
    <w:rsid w:val="001F54B6"/>
    <w:rsid w:val="00247817"/>
    <w:rsid w:val="002A7702"/>
    <w:rsid w:val="00502E24"/>
    <w:rsid w:val="00597323"/>
    <w:rsid w:val="005D0D5A"/>
    <w:rsid w:val="005D45A0"/>
    <w:rsid w:val="006A0A44"/>
    <w:rsid w:val="006F42CC"/>
    <w:rsid w:val="008049CB"/>
    <w:rsid w:val="0082286F"/>
    <w:rsid w:val="009A78AE"/>
    <w:rsid w:val="009D67D6"/>
    <w:rsid w:val="00A90362"/>
    <w:rsid w:val="00C01F71"/>
    <w:rsid w:val="00DC5D45"/>
    <w:rsid w:val="00DF4AFB"/>
    <w:rsid w:val="00E23B81"/>
    <w:rsid w:val="00E62971"/>
    <w:rsid w:val="00F9059A"/>
    <w:rsid w:val="093126F5"/>
    <w:rsid w:val="0C115EEA"/>
    <w:rsid w:val="12607A14"/>
    <w:rsid w:val="14443AA0"/>
    <w:rsid w:val="15A62E60"/>
    <w:rsid w:val="17FD6446"/>
    <w:rsid w:val="193E69AB"/>
    <w:rsid w:val="196D18ED"/>
    <w:rsid w:val="1A601F34"/>
    <w:rsid w:val="2311416A"/>
    <w:rsid w:val="290E2C9D"/>
    <w:rsid w:val="2D9F518F"/>
    <w:rsid w:val="2F364F58"/>
    <w:rsid w:val="328161BF"/>
    <w:rsid w:val="33814C3A"/>
    <w:rsid w:val="33A068DC"/>
    <w:rsid w:val="3AA0590D"/>
    <w:rsid w:val="3C823716"/>
    <w:rsid w:val="3C904756"/>
    <w:rsid w:val="3E9257B3"/>
    <w:rsid w:val="3FD16F04"/>
    <w:rsid w:val="3FDB6831"/>
    <w:rsid w:val="44A93B55"/>
    <w:rsid w:val="46D875BF"/>
    <w:rsid w:val="46F36A74"/>
    <w:rsid w:val="48BF411D"/>
    <w:rsid w:val="4AD77877"/>
    <w:rsid w:val="4E2357A6"/>
    <w:rsid w:val="511172B4"/>
    <w:rsid w:val="54577734"/>
    <w:rsid w:val="5B75B96A"/>
    <w:rsid w:val="5E6C28D2"/>
    <w:rsid w:val="5F2C3502"/>
    <w:rsid w:val="640D47F5"/>
    <w:rsid w:val="69D20698"/>
    <w:rsid w:val="6A6557D0"/>
    <w:rsid w:val="6F5F91EF"/>
    <w:rsid w:val="70315DFB"/>
    <w:rsid w:val="71A509F0"/>
    <w:rsid w:val="7203605E"/>
    <w:rsid w:val="72D24B71"/>
    <w:rsid w:val="742E1478"/>
    <w:rsid w:val="752D4A67"/>
    <w:rsid w:val="7BF5D36D"/>
    <w:rsid w:val="8FFF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verflowPunct w:val="0"/>
      <w:spacing w:line="580" w:lineRule="exact"/>
      <w:ind w:firstLineChars="200" w:firstLine="720"/>
      <w:outlineLvl w:val="0"/>
    </w:pPr>
    <w:rPr>
      <w:rFonts w:asciiTheme="minorHAnsi" w:eastAsia="黑体" w:hAnsiTheme="minorHAnsi" w:cstheme="minorBidi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="420"/>
    </w:pPr>
  </w:style>
  <w:style w:type="paragraph" w:styleId="a3">
    <w:name w:val="Body Text Indent"/>
    <w:basedOn w:val="a"/>
    <w:qFormat/>
    <w:pPr>
      <w:spacing w:line="360" w:lineRule="auto"/>
      <w:ind w:firstLineChars="200" w:firstLine="560"/>
    </w:pPr>
    <w:rPr>
      <w:sz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Theme="minorHAnsi" w:eastAsia="黑体" w:hAnsiTheme="minorHAnsi" w:cstheme="minorBidi"/>
      <w:kern w:val="44"/>
      <w:sz w:val="32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overflowPunct w:val="0"/>
      <w:spacing w:line="580" w:lineRule="exact"/>
      <w:ind w:firstLineChars="200" w:firstLine="720"/>
      <w:outlineLvl w:val="0"/>
    </w:pPr>
    <w:rPr>
      <w:rFonts w:asciiTheme="minorHAnsi" w:eastAsia="黑体" w:hAnsiTheme="minorHAnsi" w:cstheme="minorBidi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="420"/>
    </w:pPr>
  </w:style>
  <w:style w:type="paragraph" w:styleId="a3">
    <w:name w:val="Body Text Indent"/>
    <w:basedOn w:val="a"/>
    <w:qFormat/>
    <w:pPr>
      <w:spacing w:line="360" w:lineRule="auto"/>
      <w:ind w:firstLineChars="200" w:firstLine="560"/>
    </w:pPr>
    <w:rPr>
      <w:sz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Theme="minorHAnsi" w:eastAsia="黑体" w:hAnsiTheme="minorHAnsi" w:cstheme="minorBidi"/>
      <w:kern w:val="44"/>
      <w:sz w:val="32"/>
      <w:szCs w:val="2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2021-06-04T01:55:00Z</cp:lastPrinted>
  <dcterms:created xsi:type="dcterms:W3CDTF">2021-05-24T09:34:00Z</dcterms:created>
  <dcterms:modified xsi:type="dcterms:W3CDTF">2021-06-04T06:48:00Z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5E5950DB192D418B854FBF3B04D0F22D</vt:lpwstr>
  </property>
</Properties>
</file>