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28"/>
          <w:szCs w:val="32"/>
        </w:rPr>
        <w:t>附表1：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2016年度市小微服务业企业进入规模服务业企业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奖励资金分配表</w:t>
      </w:r>
    </w:p>
    <w:bookmarkEnd w:id="0"/>
    <w:tbl>
      <w:tblPr>
        <w:tblStyle w:val="3"/>
        <w:tblW w:w="82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680"/>
        <w:gridCol w:w="1404"/>
        <w:gridCol w:w="1605"/>
        <w:gridCol w:w="1710"/>
        <w:gridCol w:w="10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各区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奖励类别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奖励数量（家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奖励金额（万元）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总金额（万元）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江岸区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江汉区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硚口区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汉阳区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武昌区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青山区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洪山区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东西湖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蔡甸区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江夏区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黄陂区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新洲区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武汉开发区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东湖开发区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全市合计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新增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1895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D17AF"/>
    <w:rsid w:val="754D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2017-09-27T09:24:00Z</dcterms:created>
  <dc:creator>HP</dc:creator>
  <cp:lastModifiedBy>HP</cp:lastModifiedBy>
  <dcterms:modified xsi:type="dcterms:W3CDTF">2017-09-27T09:27:15Z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